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41" w:rsidRPr="00631854" w:rsidRDefault="007D6A41" w:rsidP="007D6A4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bookmarkStart w:id="0" w:name="_GoBack"/>
      <w:bookmarkEnd w:id="0"/>
      <w:r w:rsidRPr="00631854">
        <w:rPr>
          <w:rFonts w:ascii="Times New Roman" w:hAnsi="Times New Roman"/>
          <w:b/>
          <w:spacing w:val="-4"/>
          <w:sz w:val="28"/>
          <w:szCs w:val="28"/>
        </w:rPr>
        <w:t>ПЕРЕЛІК ПИТАНЬ ДО КОМПЛЕКСНОГО ПІДСУМКОВОГО ЕКЗАМЕНУ</w:t>
      </w:r>
    </w:p>
    <w:p w:rsidR="007D6A41" w:rsidRPr="00631854" w:rsidRDefault="007D6A41" w:rsidP="007D6A41">
      <w:pPr>
        <w:pStyle w:val="Style4"/>
        <w:jc w:val="center"/>
        <w:rPr>
          <w:b/>
          <w:bCs/>
          <w:sz w:val="28"/>
          <w:szCs w:val="28"/>
          <w:lang w:val="uk-UA"/>
        </w:rPr>
      </w:pPr>
      <w:r w:rsidRPr="00631854">
        <w:rPr>
          <w:b/>
          <w:sz w:val="28"/>
          <w:szCs w:val="28"/>
          <w:lang w:val="uk-UA"/>
        </w:rPr>
        <w:t>з підвищення кваліфікації працівників підрозділів фінансового забезпечення та бухгалтерського обліку і внутрішнього аудиту</w:t>
      </w:r>
    </w:p>
    <w:p w:rsidR="007D6A41" w:rsidRDefault="007D6A41" w:rsidP="007D6A41">
      <w:pPr>
        <w:spacing w:after="0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Термін «близькі особи» відповідно до Закону України «Про запобігання корупції».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Поняття приватного інтересу.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Реальний конфлікт інтересів.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 xml:space="preserve">Обмеження щодо використання службових повноважень чи свого становища відповідно до Закону України «Про запобігання корупції». 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Обмеження щодо одержання подарунків згідно з Законом України</w:t>
      </w:r>
      <w:r w:rsidR="00864C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«Про запобігання корупції».</w:t>
      </w:r>
    </w:p>
    <w:p w:rsidR="00F851F3" w:rsidRPr="00631854" w:rsidRDefault="00F851F3" w:rsidP="001A5E24">
      <w:pPr>
        <w:pStyle w:val="a4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31854">
        <w:rPr>
          <w:sz w:val="28"/>
          <w:szCs w:val="28"/>
          <w:lang w:val="uk-UA"/>
        </w:rPr>
        <w:t>Принцип в</w:t>
      </w:r>
      <w:r w:rsidRPr="00631854">
        <w:rPr>
          <w:bCs/>
          <w:sz w:val="28"/>
          <w:szCs w:val="28"/>
          <w:lang w:val="uk-UA"/>
        </w:rPr>
        <w:t xml:space="preserve">заємодії з населенням на засадах партнерства </w:t>
      </w:r>
      <w:r w:rsidR="001600BC" w:rsidRPr="00631854">
        <w:rPr>
          <w:bCs/>
          <w:sz w:val="28"/>
          <w:szCs w:val="28"/>
          <w:lang w:val="uk-UA"/>
        </w:rPr>
        <w:t>відповідно до</w:t>
      </w:r>
      <w:r w:rsidRPr="00631854">
        <w:rPr>
          <w:sz w:val="28"/>
          <w:szCs w:val="28"/>
          <w:lang w:val="uk-UA"/>
        </w:rPr>
        <w:t xml:space="preserve"> Закону України «Про Національну поліцію».</w:t>
      </w:r>
    </w:p>
    <w:p w:rsidR="00F851F3" w:rsidRPr="00631854" w:rsidRDefault="00F851F3" w:rsidP="001A5E24">
      <w:pPr>
        <w:pStyle w:val="a4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31854">
        <w:rPr>
          <w:sz w:val="28"/>
          <w:szCs w:val="28"/>
          <w:lang w:val="uk-UA"/>
        </w:rPr>
        <w:t>Сервісна функція поліції.</w:t>
      </w:r>
    </w:p>
    <w:p w:rsidR="00F851F3" w:rsidRPr="00631854" w:rsidRDefault="00F851F3" w:rsidP="001A5E24">
      <w:pPr>
        <w:pStyle w:val="a4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31854">
        <w:rPr>
          <w:sz w:val="28"/>
          <w:szCs w:val="28"/>
          <w:lang w:val="uk-UA"/>
        </w:rPr>
        <w:t>Оцінка рівня довіри населення до поліції.</w:t>
      </w:r>
    </w:p>
    <w:p w:rsidR="00F851F3" w:rsidRPr="00631854" w:rsidRDefault="00F851F3" w:rsidP="001A5E24">
      <w:pPr>
        <w:pStyle w:val="a4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31854">
        <w:rPr>
          <w:sz w:val="28"/>
          <w:szCs w:val="28"/>
          <w:lang w:val="uk-UA"/>
        </w:rPr>
        <w:t>Взаємодія з органами державної влади та місцевого самоврядування в діяльності поліції.</w:t>
      </w:r>
    </w:p>
    <w:p w:rsidR="00F851F3" w:rsidRPr="00631854" w:rsidRDefault="00F851F3" w:rsidP="001A5E24">
      <w:pPr>
        <w:pStyle w:val="a4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31854">
        <w:rPr>
          <w:color w:val="000000"/>
          <w:sz w:val="28"/>
          <w:szCs w:val="28"/>
          <w:shd w:val="clear" w:color="auto" w:fill="FFFFFF"/>
          <w:lang w:val="uk-UA"/>
        </w:rPr>
        <w:t>Прийняття резолюції недовіри керівнику органу (підрозділу) поліції.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31854">
        <w:rPr>
          <w:rFonts w:ascii="Times New Roman" w:hAnsi="Times New Roman"/>
          <w:bCs/>
          <w:sz w:val="28"/>
          <w:szCs w:val="28"/>
          <w:lang w:val="uk-UA"/>
        </w:rPr>
        <w:t>Інтерпретація прав людини.</w:t>
      </w:r>
    </w:p>
    <w:p w:rsidR="00B63FB7" w:rsidRPr="00631854" w:rsidRDefault="00B63FB7" w:rsidP="001A5E24">
      <w:pPr>
        <w:pStyle w:val="a3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napToGrid w:val="0"/>
          <w:sz w:val="28"/>
          <w:szCs w:val="28"/>
          <w:lang w:val="uk-UA"/>
        </w:rPr>
      </w:pPr>
      <w:r w:rsidRPr="00631854">
        <w:rPr>
          <w:rFonts w:ascii="Times New Roman" w:hAnsi="Times New Roman"/>
          <w:bCs/>
          <w:sz w:val="28"/>
          <w:szCs w:val="28"/>
          <w:lang w:val="uk-UA"/>
        </w:rPr>
        <w:t>Розуміння свободи людини.</w:t>
      </w:r>
    </w:p>
    <w:p w:rsidR="00B63FB7" w:rsidRPr="00631854" w:rsidRDefault="00B63FB7" w:rsidP="001A5E24">
      <w:pPr>
        <w:pStyle w:val="a3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bCs/>
          <w:snapToGrid w:val="0"/>
          <w:sz w:val="28"/>
          <w:szCs w:val="28"/>
          <w:lang w:val="uk-UA"/>
        </w:rPr>
        <w:t>Види прав і свобод людини і громадянина за черговістю включення їх до конституцій та міжнародно-правових документів.</w:t>
      </w:r>
    </w:p>
    <w:p w:rsidR="00B63FB7" w:rsidRPr="00631854" w:rsidRDefault="00B63FB7" w:rsidP="001A5E24">
      <w:pPr>
        <w:pStyle w:val="a3"/>
        <w:widowControl w:val="0"/>
        <w:numPr>
          <w:ilvl w:val="0"/>
          <w:numId w:val="1"/>
        </w:numPr>
        <w:tabs>
          <w:tab w:val="clear" w:pos="2160"/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262626"/>
          <w:sz w:val="28"/>
          <w:szCs w:val="28"/>
          <w:lang w:val="uk-UA"/>
        </w:rPr>
      </w:pPr>
      <w:r w:rsidRPr="00631854">
        <w:rPr>
          <w:rFonts w:ascii="Times New Roman" w:hAnsi="Times New Roman"/>
          <w:bCs/>
          <w:sz w:val="28"/>
          <w:szCs w:val="28"/>
          <w:lang w:val="uk-UA"/>
        </w:rPr>
        <w:t>Процедура міжнародного захисту своїх прав громадянином України після використання національних засобів правового захисту.</w:t>
      </w:r>
    </w:p>
    <w:p w:rsidR="00B63FB7" w:rsidRPr="00631854" w:rsidRDefault="00B63FB7" w:rsidP="001A5E24">
      <w:pPr>
        <w:pStyle w:val="a3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Види поводження, заборонені ст. 3 Конвенції про захист прав людини і основоположних свобод.</w:t>
      </w:r>
    </w:p>
    <w:p w:rsidR="00B63FB7" w:rsidRPr="00631854" w:rsidRDefault="00B63FB7" w:rsidP="001A5E24">
      <w:pPr>
        <w:pStyle w:val="a3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Загальні правила тримання особи під вартою згідно Конституції України та Конвенції про захист прав людини і основоположних свобод.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Проникнення до житла чи до іншого володіння особи у невідкладних випадках без вмотивованого рішення суду.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Зміст права на свободу та недоторканність згідно ст. 5 Конвенції про захист прав людини і основоположних свобод.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3185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Умови проведення обшуку в житлі або іншому володінні особи.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Право на таємницю листування, телефонних розмов, телеграфної та іншої кореспонденції</w:t>
      </w:r>
      <w:r w:rsidRPr="00631854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підстави його обмеження згідно Конституції України.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1854">
        <w:rPr>
          <w:rFonts w:ascii="Times New Roman" w:eastAsia="Times New Roman" w:hAnsi="Times New Roman"/>
          <w:sz w:val="28"/>
          <w:szCs w:val="28"/>
          <w:lang w:val="uk-UA"/>
        </w:rPr>
        <w:t>Форми об’єктивної сторони злочину, передбаченого ч. 1 ст. 149 КК України (</w:t>
      </w:r>
      <w:r w:rsidRPr="0063185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631854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1854">
        <w:rPr>
          <w:rFonts w:ascii="Times New Roman" w:eastAsia="Times New Roman" w:hAnsi="Times New Roman"/>
          <w:sz w:val="28"/>
          <w:szCs w:val="28"/>
          <w:lang w:val="uk-UA"/>
        </w:rPr>
        <w:t>Зміст мети експлуатації людини у складі злочину, передбаченого ч. 1 ст. 149 КК України (</w:t>
      </w:r>
      <w:r w:rsidRPr="0063185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631854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1854">
        <w:rPr>
          <w:rFonts w:ascii="Times New Roman" w:eastAsia="Times New Roman" w:hAnsi="Times New Roman"/>
          <w:sz w:val="28"/>
          <w:szCs w:val="28"/>
          <w:lang w:val="uk-UA"/>
        </w:rPr>
        <w:t>Спосіб вчинення злочину, передбаченого ч. 1 ст. 149 КК України (</w:t>
      </w:r>
      <w:r w:rsidRPr="0063185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631854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1854">
        <w:rPr>
          <w:rFonts w:ascii="Times New Roman" w:eastAsia="Times New Roman" w:hAnsi="Times New Roman"/>
          <w:sz w:val="28"/>
          <w:szCs w:val="28"/>
          <w:lang w:val="uk-UA"/>
        </w:rPr>
        <w:t>Зміст уразливого стану особи у складі злочину, передбаченого ч. 1 ст. 149 КК України (</w:t>
      </w:r>
      <w:r w:rsidRPr="0063185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631854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1854">
        <w:rPr>
          <w:rFonts w:ascii="Times New Roman" w:eastAsia="Times New Roman" w:hAnsi="Times New Roman"/>
          <w:sz w:val="28"/>
          <w:szCs w:val="28"/>
          <w:lang w:val="uk-UA"/>
        </w:rPr>
        <w:t>Суб’єкт т</w:t>
      </w:r>
      <w:r w:rsidRPr="0063185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оргівлі людьми або іншої незаконної угоди щодо людини (ст. 149 КК України</w:t>
      </w:r>
      <w:r w:rsidRPr="00631854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1854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Поняття неправомірної вигоди при вчиненні корупційних злочинів.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1854">
        <w:rPr>
          <w:rFonts w:ascii="Times New Roman" w:eastAsia="Times New Roman" w:hAnsi="Times New Roman"/>
          <w:sz w:val="28"/>
          <w:szCs w:val="28"/>
          <w:lang w:val="uk-UA"/>
        </w:rPr>
        <w:t>Значний, великий та особливо великий розмір неправомірної вигоди при прийнятті пропозиції, обіцянки або одержанні її службовою особою.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1854">
        <w:rPr>
          <w:rFonts w:ascii="Times New Roman" w:eastAsia="Times New Roman" w:hAnsi="Times New Roman"/>
          <w:sz w:val="28"/>
          <w:szCs w:val="28"/>
          <w:lang w:val="uk-UA"/>
        </w:rPr>
        <w:t>Істотна шкода (у ст.ст. 364, 364-1, 365, 365-2, 367 КК України) та тяжкі наслідки (у ст.ст. 364–367 КК України).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1854">
        <w:rPr>
          <w:rFonts w:ascii="Times New Roman" w:eastAsia="Times New Roman" w:hAnsi="Times New Roman"/>
          <w:sz w:val="28"/>
          <w:szCs w:val="28"/>
          <w:lang w:val="uk-UA"/>
        </w:rPr>
        <w:t>Зміст суб’єктивної сторони складу злочину, передбаченого ст. 364 КК України (Зловживання владою або службовим становищем).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31854">
        <w:rPr>
          <w:rFonts w:ascii="Times New Roman" w:eastAsia="Times New Roman" w:hAnsi="Times New Roman"/>
          <w:spacing w:val="-8"/>
          <w:sz w:val="28"/>
          <w:szCs w:val="28"/>
          <w:lang w:val="uk-UA"/>
        </w:rPr>
        <w:t>Зміст пропозиції та обіцянки неправомірної вигоди.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sz w:val="28"/>
          <w:szCs w:val="28"/>
          <w:lang w:val="uk-UA" w:eastAsia="ru-RU"/>
        </w:rPr>
        <w:t>Етичний кодекс поліцейського.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Співвідношення принципів та цінностей професійної етики поліції і загальнолюдської моралі.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sz w:val="28"/>
          <w:szCs w:val="28"/>
          <w:lang w:val="uk-UA" w:eastAsia="ru-RU"/>
        </w:rPr>
        <w:t>Зміст принципу прозорості і підзвітності (Наказ МВС від 28.04.2016 № 326).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Основні риси гуманізму як моральної позиції людини.</w:t>
      </w:r>
    </w:p>
    <w:p w:rsidR="00B63FB7" w:rsidRPr="00631854" w:rsidRDefault="00B63FB7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Відповідальність працівника </w:t>
      </w:r>
      <w:r w:rsidRPr="0063185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підрозділу національної поліції </w:t>
      </w:r>
      <w:r w:rsidRPr="00631854">
        <w:rPr>
          <w:rFonts w:ascii="Times New Roman" w:eastAsia="Times New Roman" w:hAnsi="Times New Roman"/>
          <w:sz w:val="28"/>
          <w:szCs w:val="28"/>
          <w:lang w:val="uk-UA" w:eastAsia="ru-RU"/>
        </w:rPr>
        <w:t>за порушення професійно-етичних принципів і норм поведінки.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Особливості спілкування в діяльності </w:t>
      </w:r>
      <w:r w:rsidRPr="00631854">
        <w:rPr>
          <w:rFonts w:ascii="Times New Roman" w:eastAsia="Times New Roman" w:hAnsi="Times New Roman"/>
          <w:sz w:val="28"/>
          <w:szCs w:val="28"/>
          <w:lang w:val="uk-UA" w:eastAsia="ru-RU"/>
        </w:rPr>
        <w:t>поліцейських</w:t>
      </w:r>
      <w:r w:rsidRPr="0063185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Діалог: поняття, етапи.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Характеристика типів слухання.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sz w:val="28"/>
          <w:szCs w:val="28"/>
          <w:lang w:val="uk-UA" w:eastAsia="ru-RU"/>
        </w:rPr>
        <w:t>Протидія маніпуляції.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sz w:val="28"/>
          <w:szCs w:val="28"/>
          <w:lang w:val="uk-UA" w:eastAsia="ru-RU"/>
        </w:rPr>
        <w:t>Алгоритм вирішення конфлікту.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Ознаки прихованого конфлікту.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Стратегії поведінки у конфлікті.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uk-UA" w:eastAsia="x-none"/>
        </w:rPr>
      </w:pPr>
      <w:r w:rsidRPr="00631854">
        <w:rPr>
          <w:rFonts w:ascii="Times New Roman" w:hAnsi="Times New Roman"/>
          <w:bCs/>
          <w:sz w:val="28"/>
          <w:szCs w:val="28"/>
          <w:lang w:val="uk-UA" w:eastAsia="x-none"/>
        </w:rPr>
        <w:t xml:space="preserve">Поняття </w:t>
      </w:r>
      <w:proofErr w:type="spellStart"/>
      <w:r w:rsidRPr="00631854">
        <w:rPr>
          <w:rFonts w:ascii="Times New Roman" w:hAnsi="Times New Roman"/>
          <w:bCs/>
          <w:sz w:val="28"/>
          <w:szCs w:val="28"/>
          <w:lang w:val="uk-UA" w:eastAsia="x-none"/>
        </w:rPr>
        <w:t>профайлінг</w:t>
      </w:r>
      <w:r w:rsidR="004313C2" w:rsidRPr="00631854">
        <w:rPr>
          <w:rFonts w:ascii="Times New Roman" w:hAnsi="Times New Roman"/>
          <w:bCs/>
          <w:sz w:val="28"/>
          <w:szCs w:val="28"/>
          <w:lang w:val="uk-UA" w:eastAsia="x-none"/>
        </w:rPr>
        <w:t>у</w:t>
      </w:r>
      <w:proofErr w:type="spellEnd"/>
      <w:r w:rsidRPr="00631854">
        <w:rPr>
          <w:rFonts w:ascii="Times New Roman" w:hAnsi="Times New Roman"/>
          <w:bCs/>
          <w:sz w:val="28"/>
          <w:szCs w:val="28"/>
          <w:lang w:val="uk-UA" w:eastAsia="x-none"/>
        </w:rPr>
        <w:t>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lang w:val="uk-UA" w:eastAsia="x-none"/>
        </w:rPr>
      </w:pPr>
      <w:r w:rsidRPr="00631854">
        <w:rPr>
          <w:rFonts w:ascii="Times New Roman" w:hAnsi="Times New Roman"/>
          <w:bCs/>
          <w:sz w:val="28"/>
          <w:szCs w:val="28"/>
          <w:lang w:val="uk-UA" w:eastAsia="x-none"/>
        </w:rPr>
        <w:t xml:space="preserve">Характеристика </w:t>
      </w:r>
      <w:proofErr w:type="spellStart"/>
      <w:r w:rsidRPr="00631854">
        <w:rPr>
          <w:rFonts w:ascii="Times New Roman" w:hAnsi="Times New Roman"/>
          <w:bCs/>
          <w:sz w:val="28"/>
          <w:szCs w:val="28"/>
          <w:lang w:val="uk-UA" w:eastAsia="x-none"/>
        </w:rPr>
        <w:t>ґендерно</w:t>
      </w:r>
      <w:proofErr w:type="spellEnd"/>
      <w:r w:rsidRPr="00631854">
        <w:rPr>
          <w:rFonts w:ascii="Times New Roman" w:hAnsi="Times New Roman"/>
          <w:bCs/>
          <w:sz w:val="28"/>
          <w:szCs w:val="28"/>
          <w:lang w:val="uk-UA" w:eastAsia="x-none"/>
        </w:rPr>
        <w:t>-чутливого підходу на робочому місці.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Стрес. Види стресу.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Адаптація до стресу.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proofErr w:type="spellStart"/>
      <w:r w:rsidRPr="0063185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Рефреймінг</w:t>
      </w:r>
      <w:proofErr w:type="spellEnd"/>
      <w:r w:rsidRPr="0063185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апатії.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страху.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агресії.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істерики.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спілкування із жертвою насильства.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Методи боротьби зі стресом.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sz w:val="28"/>
          <w:szCs w:val="28"/>
          <w:lang w:val="uk-UA" w:eastAsia="ru-RU"/>
        </w:rPr>
        <w:t>Психологічні особливості діяльності поліцейських.</w:t>
      </w:r>
    </w:p>
    <w:p w:rsidR="00BA0721" w:rsidRPr="00631854" w:rsidRDefault="00BA0721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eastAsia="Times New Roman" w:hAnsi="Times New Roman"/>
          <w:sz w:val="28"/>
          <w:szCs w:val="28"/>
          <w:lang w:val="uk-UA" w:eastAsia="ru-RU"/>
        </w:rPr>
        <w:t>Стани, що негативно впливають на ефективність діяльності поліцейських.</w:t>
      </w:r>
    </w:p>
    <w:p w:rsidR="001A4D06" w:rsidRPr="00631854" w:rsidRDefault="001A4D06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Поняття та види насильства в сім’ї.</w:t>
      </w:r>
    </w:p>
    <w:p w:rsidR="001A4D06" w:rsidRPr="00631854" w:rsidRDefault="001A4D06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Причини та умови вчинення насильства в сім’ї щодо дитини.</w:t>
      </w:r>
    </w:p>
    <w:p w:rsidR="001A4D06" w:rsidRPr="00631854" w:rsidRDefault="001A4D06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Ознаки економічного насильства в сім’ї стосовно дитини.</w:t>
      </w:r>
    </w:p>
    <w:p w:rsidR="001A4D06" w:rsidRPr="00631854" w:rsidRDefault="001A4D06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Державні органи та соціальні установи, як суб’єкти протидії насильству в сім’ї. Організаційно правова основа їх взаємодії.</w:t>
      </w:r>
    </w:p>
    <w:p w:rsidR="001A4D06" w:rsidRPr="00631854" w:rsidRDefault="001A4D06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Досвід зарубіжних країн у подоланні насильства в сім’ї.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Правова основа організації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бухгалтерського обліку у бюджетній установі.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Правова основа підпорядкування головного бухгалтера.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lastRenderedPageBreak/>
        <w:t>Законна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підстава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щодо облікової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політики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та облікової оцінки,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їх змін у бюджетній установі.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Роль головного розпорядника бюджетних коштів</w:t>
      </w:r>
      <w:r w:rsidR="00A06E0E" w:rsidRPr="00A06E0E">
        <w:rPr>
          <w:rFonts w:ascii="Times New Roman" w:hAnsi="Times New Roman"/>
          <w:sz w:val="28"/>
          <w:szCs w:val="28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(відповідального виконавця бюджетної програми) в організації бухгалтерського обліку.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Принципи бухгалтерського обліку та фінансової звітності.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 xml:space="preserve">Відповідальність за організацію бухгалтерського обліку, забезпечення фіксування фактів здійснення всіх господарських операцій у первинних документах. 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Правова підстава для відображення господарських операцій у бухгалтерському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обліку.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Контроль бухгалтера за достовірністю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оформлення господарських операцій і своєчасності передачі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документів для бухгалтерського обліку.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Правові вимоги до оформлення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первинних документів.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Правова підстава для відповідальності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за несвоєчасне складання первинних документів та їх недостовірність.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Завдання, види інвентаризації та випадки її проведення.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Поняття інвентаризації.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Класифікація інвентаризації за обсягом охопленої перевірки.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Техніка проведення інвентаризації.</w:t>
      </w:r>
    </w:p>
    <w:p w:rsidR="000B46A2" w:rsidRPr="00631854" w:rsidRDefault="00631854" w:rsidP="001A5E24">
      <w:pPr>
        <w:pStyle w:val="psection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І</w:t>
      </w:r>
      <w:r w:rsidR="000B46A2" w:rsidRPr="00631854">
        <w:rPr>
          <w:rFonts w:eastAsia="Calibri"/>
          <w:sz w:val="28"/>
          <w:szCs w:val="28"/>
          <w:lang w:val="uk-UA" w:eastAsia="en-US"/>
        </w:rPr>
        <w:t>нвентаризація як елемент методу бухгалтерського обліку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0B46A2" w:rsidRPr="00631854" w:rsidRDefault="00864C30" w:rsidP="001A5E24">
      <w:pPr>
        <w:pStyle w:val="psection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</w:t>
      </w:r>
      <w:r w:rsidR="000B46A2" w:rsidRPr="00631854">
        <w:rPr>
          <w:rFonts w:eastAsia="Calibri"/>
          <w:sz w:val="28"/>
          <w:szCs w:val="28"/>
          <w:lang w:val="uk-UA" w:eastAsia="en-US"/>
        </w:rPr>
        <w:t>еобхідність проведення інвентаризацій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0B46A2" w:rsidRPr="00631854" w:rsidRDefault="00864C30" w:rsidP="001A5E24">
      <w:pPr>
        <w:pStyle w:val="psection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</w:t>
      </w:r>
      <w:r w:rsidR="000B46A2" w:rsidRPr="00631854">
        <w:rPr>
          <w:rFonts w:eastAsia="Calibri"/>
          <w:sz w:val="28"/>
          <w:szCs w:val="28"/>
          <w:lang w:val="uk-UA" w:eastAsia="en-US"/>
        </w:rPr>
        <w:t>ета та зав</w:t>
      </w:r>
      <w:r>
        <w:rPr>
          <w:rFonts w:eastAsia="Calibri"/>
          <w:sz w:val="28"/>
          <w:szCs w:val="28"/>
          <w:lang w:val="uk-UA" w:eastAsia="en-US"/>
        </w:rPr>
        <w:t>дання проведення інвентаризації.</w:t>
      </w:r>
    </w:p>
    <w:p w:rsidR="000B46A2" w:rsidRPr="00631854" w:rsidRDefault="00864C30" w:rsidP="001A5E24">
      <w:pPr>
        <w:pStyle w:val="psection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="000B46A2" w:rsidRPr="00631854">
        <w:rPr>
          <w:rFonts w:eastAsia="Calibri"/>
          <w:sz w:val="28"/>
          <w:szCs w:val="28"/>
          <w:lang w:val="uk-UA" w:eastAsia="en-US"/>
        </w:rPr>
        <w:t>ипадк</w:t>
      </w:r>
      <w:r>
        <w:rPr>
          <w:rFonts w:eastAsia="Calibri"/>
          <w:sz w:val="28"/>
          <w:szCs w:val="28"/>
          <w:lang w:val="uk-UA" w:eastAsia="en-US"/>
        </w:rPr>
        <w:t xml:space="preserve">и </w:t>
      </w:r>
      <w:r w:rsidRPr="00631854">
        <w:rPr>
          <w:rFonts w:eastAsia="Calibri"/>
          <w:sz w:val="28"/>
          <w:szCs w:val="28"/>
          <w:lang w:val="uk-UA" w:eastAsia="en-US"/>
        </w:rPr>
        <w:t>обов'язков</w:t>
      </w:r>
      <w:r>
        <w:rPr>
          <w:rFonts w:eastAsia="Calibri"/>
          <w:sz w:val="28"/>
          <w:szCs w:val="28"/>
          <w:lang w:val="uk-UA" w:eastAsia="en-US"/>
        </w:rPr>
        <w:t>ого</w:t>
      </w:r>
      <w:r w:rsidRPr="00631854">
        <w:rPr>
          <w:rFonts w:eastAsia="Calibri"/>
          <w:sz w:val="28"/>
          <w:szCs w:val="28"/>
          <w:lang w:val="uk-UA" w:eastAsia="en-US"/>
        </w:rPr>
        <w:t xml:space="preserve"> </w:t>
      </w:r>
      <w:r w:rsidR="000B46A2" w:rsidRPr="00631854">
        <w:rPr>
          <w:rFonts w:eastAsia="Calibri"/>
          <w:sz w:val="28"/>
          <w:szCs w:val="28"/>
          <w:lang w:val="uk-UA" w:eastAsia="en-US"/>
        </w:rPr>
        <w:t>проведення інвентаризації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0B46A2" w:rsidRPr="00631854" w:rsidRDefault="00864C30" w:rsidP="001A5E24">
      <w:pPr>
        <w:pStyle w:val="psection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</w:t>
      </w:r>
      <w:r w:rsidR="000B46A2" w:rsidRPr="00631854">
        <w:rPr>
          <w:rFonts w:eastAsia="Calibri"/>
          <w:sz w:val="28"/>
          <w:szCs w:val="28"/>
          <w:lang w:val="uk-UA" w:eastAsia="en-US"/>
        </w:rPr>
        <w:t>орядок створення та роботи інвентаризаційної комісії.</w:t>
      </w:r>
    </w:p>
    <w:p w:rsidR="000B46A2" w:rsidRPr="00631854" w:rsidRDefault="00864C30" w:rsidP="001A5E24">
      <w:pPr>
        <w:pStyle w:val="psection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</w:t>
      </w:r>
      <w:r w:rsidR="000B46A2" w:rsidRPr="00631854">
        <w:rPr>
          <w:rFonts w:eastAsia="Calibri"/>
          <w:sz w:val="28"/>
          <w:szCs w:val="28"/>
          <w:lang w:val="uk-UA" w:eastAsia="en-US"/>
        </w:rPr>
        <w:t>езультати проведення інвентаризації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hAnsi="Times New Roman"/>
          <w:sz w:val="28"/>
          <w:szCs w:val="28"/>
          <w:lang w:val="uk-UA" w:eastAsia="ru-RU"/>
        </w:rPr>
        <w:t>Правова основа щодо взяття</w:t>
      </w:r>
      <w:r w:rsidR="006318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 w:eastAsia="ru-RU"/>
        </w:rPr>
        <w:t>бюджетних</w:t>
      </w:r>
      <w:r w:rsidR="006318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 w:eastAsia="ru-RU"/>
        </w:rPr>
        <w:t xml:space="preserve">зобов’язань </w:t>
      </w:r>
      <w:r w:rsidR="00864C30">
        <w:rPr>
          <w:rFonts w:ascii="Times New Roman" w:hAnsi="Times New Roman"/>
          <w:sz w:val="28"/>
          <w:szCs w:val="28"/>
          <w:lang w:val="uk-UA" w:eastAsia="ru-RU"/>
        </w:rPr>
        <w:t>розпорядниками бюджетних коштів</w:t>
      </w:r>
      <w:r w:rsidRPr="00631854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hAnsi="Times New Roman"/>
          <w:sz w:val="28"/>
          <w:szCs w:val="28"/>
          <w:lang w:val="uk-UA" w:eastAsia="ru-RU"/>
        </w:rPr>
        <w:t>Види зобов’язань</w:t>
      </w:r>
      <w:r w:rsidR="006318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 w:eastAsia="ru-RU"/>
        </w:rPr>
        <w:t>розпорядників бюджетних коштів.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hAnsi="Times New Roman"/>
          <w:sz w:val="28"/>
          <w:szCs w:val="28"/>
          <w:lang w:val="uk-UA" w:eastAsia="ru-RU"/>
        </w:rPr>
        <w:t>Правове</w:t>
      </w:r>
      <w:r w:rsidR="006318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 w:eastAsia="ru-RU"/>
        </w:rPr>
        <w:t>оформлення</w:t>
      </w:r>
      <w:r w:rsidR="006318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 w:eastAsia="ru-RU"/>
        </w:rPr>
        <w:t>бюджетних зобов’язань.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hAnsi="Times New Roman"/>
          <w:sz w:val="28"/>
          <w:szCs w:val="28"/>
          <w:lang w:val="uk-UA" w:eastAsia="ru-RU"/>
        </w:rPr>
        <w:t xml:space="preserve">Правова основа виконання бюджетних зобов’язань у наступному бюджетному році. 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hAnsi="Times New Roman"/>
          <w:sz w:val="28"/>
          <w:szCs w:val="28"/>
          <w:lang w:val="uk-UA" w:eastAsia="ru-RU"/>
        </w:rPr>
        <w:t>Ведення договірної роботи і участь головного бухгалтера у цьому процесі.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hAnsi="Times New Roman"/>
          <w:sz w:val="28"/>
          <w:szCs w:val="28"/>
          <w:lang w:val="uk-UA" w:eastAsia="ru-RU"/>
        </w:rPr>
        <w:t>Контроль за взяттям зобов’язань</w:t>
      </w:r>
      <w:r w:rsidR="00864C3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 w:eastAsia="ru-RU"/>
        </w:rPr>
        <w:t>відповідно до вимог</w:t>
      </w:r>
      <w:r w:rsidR="006318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 w:eastAsia="ru-RU"/>
        </w:rPr>
        <w:t>бюджетного законодавства.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hAnsi="Times New Roman"/>
          <w:sz w:val="28"/>
          <w:szCs w:val="28"/>
          <w:lang w:val="uk-UA" w:eastAsia="ru-RU"/>
        </w:rPr>
        <w:t>Ведення аналітичного обліку зобов’язань.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hAnsi="Times New Roman"/>
          <w:sz w:val="28"/>
          <w:szCs w:val="28"/>
          <w:lang w:val="uk-UA" w:eastAsia="ru-RU"/>
        </w:rPr>
        <w:t>Публічність бюджетних зобов’язань.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31854">
        <w:rPr>
          <w:rFonts w:ascii="Times New Roman" w:hAnsi="Times New Roman"/>
          <w:sz w:val="28"/>
          <w:szCs w:val="28"/>
          <w:lang w:val="uk-UA" w:eastAsia="ru-RU"/>
        </w:rPr>
        <w:t>Відповідальність за достовірність первинних документів, що підтверджують</w:t>
      </w:r>
      <w:r w:rsidR="006318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 w:eastAsia="ru-RU"/>
        </w:rPr>
        <w:t>виконання укладених договорів.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 w:eastAsia="ru-RU"/>
        </w:rPr>
        <w:t>Розкриття</w:t>
      </w:r>
      <w:r w:rsidR="006318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 w:eastAsia="ru-RU"/>
        </w:rPr>
        <w:t>звітної інформації</w:t>
      </w:r>
      <w:r w:rsidR="00864C3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 w:eastAsia="ru-RU"/>
        </w:rPr>
        <w:t>про облік</w:t>
      </w:r>
      <w:r w:rsidR="006318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 w:eastAsia="ru-RU"/>
        </w:rPr>
        <w:t>зобов’язань</w:t>
      </w:r>
      <w:r w:rsidR="0063185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 w:eastAsia="ru-RU"/>
        </w:rPr>
        <w:t>бюджетної установи.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Національні положення (стандарти) бухгалтерського обліку в державному секторі, запроваджені розпорядниками коштів державного бюджету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496880012"/>
      <w:r w:rsidRPr="00631854">
        <w:rPr>
          <w:rFonts w:ascii="Times New Roman" w:hAnsi="Times New Roman"/>
          <w:sz w:val="28"/>
          <w:szCs w:val="28"/>
          <w:lang w:val="uk-UA"/>
        </w:rPr>
        <w:t>Правова основа форм фінансової звітності розпорядників бюджетних коштів</w:t>
      </w:r>
    </w:p>
    <w:bookmarkEnd w:id="1"/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Правова основа визнання об’єктів у бухгалтерському обліку бюджетних установ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lastRenderedPageBreak/>
        <w:t>Правова основа визнання у бухгалтерському обліку бюджетних установ необоротних активів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Правова основа визнання у бухгалтерському обліку бюджетних установ запасів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Правова основа доходів майбутніх періодів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496879284"/>
      <w:r w:rsidRPr="00631854">
        <w:rPr>
          <w:rFonts w:ascii="Times New Roman" w:hAnsi="Times New Roman"/>
          <w:sz w:val="28"/>
          <w:szCs w:val="28"/>
          <w:lang w:val="uk-UA"/>
        </w:rPr>
        <w:t>Доходи майбутніх періодів</w:t>
      </w:r>
    </w:p>
    <w:bookmarkEnd w:id="2"/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Витрати майбутніх періодів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Правова основа обліку собівартості послуг бюджетних установ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496879839"/>
      <w:r w:rsidRPr="00631854">
        <w:rPr>
          <w:rFonts w:ascii="Times New Roman" w:hAnsi="Times New Roman"/>
          <w:sz w:val="28"/>
          <w:szCs w:val="28"/>
          <w:lang w:val="uk-UA"/>
        </w:rPr>
        <w:t>Правова основа узагальнення у бухгалтерському обліку операцій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496880065"/>
      <w:bookmarkEnd w:id="3"/>
      <w:r w:rsidRPr="00631854">
        <w:rPr>
          <w:rFonts w:ascii="Times New Roman" w:hAnsi="Times New Roman"/>
          <w:sz w:val="28"/>
          <w:szCs w:val="28"/>
          <w:lang w:val="uk-UA"/>
        </w:rPr>
        <w:t>Правова основа складання фінансової звітності розпорядниками бюджетних коштів</w:t>
      </w:r>
    </w:p>
    <w:bookmarkEnd w:id="4"/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Правова основа форм фінансової звітності розпорядників бюджетних коштів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 xml:space="preserve">Склад річної фінансової звітності бюджетних установ 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Звіт про фінансовий стан розпорядників бюджетних коштів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Звіт про фінансові результати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Звіт про рух грошових коштів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Звіт про власний капітал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496880132"/>
      <w:r w:rsidRPr="00631854">
        <w:rPr>
          <w:rFonts w:ascii="Times New Roman" w:hAnsi="Times New Roman"/>
          <w:sz w:val="28"/>
          <w:szCs w:val="28"/>
          <w:lang w:val="uk-UA"/>
        </w:rPr>
        <w:t>Правова основа складання бюджетної звітності розпорядниками бюджетних коштів</w:t>
      </w:r>
    </w:p>
    <w:bookmarkEnd w:id="5"/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 xml:space="preserve">Правова основа форм бюджетної звітності 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Склад бюджетної звітності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Нормативно-правова база, що регулює порядок відряджень в межах України.</w:t>
      </w:r>
    </w:p>
    <w:p w:rsidR="000B46A2" w:rsidRPr="00631854" w:rsidRDefault="000B46A2" w:rsidP="001A5E24">
      <w:pPr>
        <w:pStyle w:val="Text"/>
        <w:numPr>
          <w:ilvl w:val="0"/>
          <w:numId w:val="1"/>
        </w:numPr>
        <w:tabs>
          <w:tab w:val="clear" w:pos="360"/>
          <w:tab w:val="clear" w:pos="540"/>
          <w:tab w:val="clear" w:pos="851"/>
          <w:tab w:val="clear" w:pos="1134"/>
          <w:tab w:val="clear" w:pos="2160"/>
        </w:tabs>
        <w:ind w:left="0" w:firstLine="709"/>
        <w:rPr>
          <w:b w:val="0"/>
        </w:rPr>
      </w:pPr>
      <w:r w:rsidRPr="00631854">
        <w:rPr>
          <w:b w:val="0"/>
        </w:rPr>
        <w:t>Поняття службового відрядження.</w:t>
      </w:r>
    </w:p>
    <w:p w:rsidR="000B46A2" w:rsidRPr="00631854" w:rsidRDefault="000B46A2" w:rsidP="001A5E24">
      <w:pPr>
        <w:pStyle w:val="Text"/>
        <w:numPr>
          <w:ilvl w:val="0"/>
          <w:numId w:val="1"/>
        </w:numPr>
        <w:tabs>
          <w:tab w:val="clear" w:pos="360"/>
          <w:tab w:val="clear" w:pos="540"/>
          <w:tab w:val="clear" w:pos="851"/>
          <w:tab w:val="clear" w:pos="1134"/>
          <w:tab w:val="clear" w:pos="2160"/>
        </w:tabs>
        <w:ind w:left="0" w:firstLine="709"/>
        <w:rPr>
          <w:b w:val="0"/>
        </w:rPr>
      </w:pPr>
      <w:r w:rsidRPr="00631854">
        <w:rPr>
          <w:b w:val="0"/>
        </w:rPr>
        <w:t>Поняття підзвітної особи.</w:t>
      </w:r>
    </w:p>
    <w:p w:rsidR="000B46A2" w:rsidRPr="00631854" w:rsidRDefault="000B46A2" w:rsidP="001A5E24">
      <w:pPr>
        <w:pStyle w:val="Text"/>
        <w:numPr>
          <w:ilvl w:val="0"/>
          <w:numId w:val="1"/>
        </w:numPr>
        <w:tabs>
          <w:tab w:val="clear" w:pos="360"/>
          <w:tab w:val="clear" w:pos="540"/>
          <w:tab w:val="clear" w:pos="851"/>
          <w:tab w:val="clear" w:pos="1134"/>
          <w:tab w:val="clear" w:pos="2160"/>
        </w:tabs>
        <w:ind w:left="0" w:firstLine="709"/>
        <w:rPr>
          <w:b w:val="0"/>
        </w:rPr>
      </w:pPr>
      <w:r w:rsidRPr="00631854">
        <w:rPr>
          <w:b w:val="0"/>
        </w:rPr>
        <w:t>Граничні строки направлення у відрядження.</w:t>
      </w:r>
    </w:p>
    <w:p w:rsidR="000B46A2" w:rsidRPr="00631854" w:rsidRDefault="000B46A2" w:rsidP="001A5E24">
      <w:pPr>
        <w:pStyle w:val="Text"/>
        <w:numPr>
          <w:ilvl w:val="0"/>
          <w:numId w:val="1"/>
        </w:numPr>
        <w:tabs>
          <w:tab w:val="clear" w:pos="360"/>
          <w:tab w:val="clear" w:pos="540"/>
          <w:tab w:val="clear" w:pos="851"/>
          <w:tab w:val="clear" w:pos="1134"/>
          <w:tab w:val="clear" w:pos="2160"/>
        </w:tabs>
        <w:ind w:left="0" w:firstLine="709"/>
        <w:rPr>
          <w:b w:val="0"/>
        </w:rPr>
      </w:pPr>
      <w:r w:rsidRPr="00631854">
        <w:rPr>
          <w:b w:val="0"/>
        </w:rPr>
        <w:t>Умови видачі готівки з каси установи під звіт.</w:t>
      </w:r>
    </w:p>
    <w:p w:rsidR="000B46A2" w:rsidRPr="00631854" w:rsidRDefault="000B46A2" w:rsidP="001A5E24">
      <w:pPr>
        <w:pStyle w:val="Text"/>
        <w:numPr>
          <w:ilvl w:val="0"/>
          <w:numId w:val="1"/>
        </w:numPr>
        <w:tabs>
          <w:tab w:val="clear" w:pos="360"/>
          <w:tab w:val="clear" w:pos="540"/>
          <w:tab w:val="clear" w:pos="851"/>
          <w:tab w:val="clear" w:pos="1134"/>
          <w:tab w:val="clear" w:pos="2160"/>
        </w:tabs>
        <w:ind w:left="0" w:firstLine="709"/>
        <w:rPr>
          <w:b w:val="0"/>
        </w:rPr>
      </w:pPr>
      <w:r w:rsidRPr="00631854">
        <w:rPr>
          <w:b w:val="0"/>
        </w:rPr>
        <w:t>Порядок скасування відрядження.</w:t>
      </w:r>
    </w:p>
    <w:p w:rsidR="000B46A2" w:rsidRPr="00631854" w:rsidRDefault="000B46A2" w:rsidP="001A5E24">
      <w:pPr>
        <w:pStyle w:val="Text"/>
        <w:numPr>
          <w:ilvl w:val="0"/>
          <w:numId w:val="1"/>
        </w:numPr>
        <w:tabs>
          <w:tab w:val="clear" w:pos="360"/>
          <w:tab w:val="clear" w:pos="540"/>
          <w:tab w:val="clear" w:pos="851"/>
          <w:tab w:val="clear" w:pos="1134"/>
          <w:tab w:val="clear" w:pos="2160"/>
        </w:tabs>
        <w:ind w:left="0" w:firstLine="709"/>
        <w:rPr>
          <w:b w:val="0"/>
        </w:rPr>
      </w:pPr>
      <w:r w:rsidRPr="00631854">
        <w:rPr>
          <w:b w:val="0"/>
        </w:rPr>
        <w:t>Порядок розрахунку середньоденної зарплати за час відрядження.</w:t>
      </w:r>
    </w:p>
    <w:p w:rsidR="000B46A2" w:rsidRPr="00631854" w:rsidRDefault="000B46A2" w:rsidP="001A5E24">
      <w:pPr>
        <w:pStyle w:val="Text"/>
        <w:numPr>
          <w:ilvl w:val="0"/>
          <w:numId w:val="1"/>
        </w:numPr>
        <w:tabs>
          <w:tab w:val="clear" w:pos="360"/>
          <w:tab w:val="clear" w:pos="540"/>
          <w:tab w:val="clear" w:pos="851"/>
          <w:tab w:val="clear" w:pos="1134"/>
          <w:tab w:val="clear" w:pos="2160"/>
        </w:tabs>
        <w:ind w:left="0" w:firstLine="709"/>
        <w:rPr>
          <w:b w:val="0"/>
        </w:rPr>
      </w:pPr>
      <w:r w:rsidRPr="00631854">
        <w:rPr>
          <w:b w:val="0"/>
        </w:rPr>
        <w:t xml:space="preserve">Статті відшкодування витрат відрядженому працівнику в межах України. </w:t>
      </w:r>
    </w:p>
    <w:p w:rsidR="000B46A2" w:rsidRPr="00631854" w:rsidRDefault="000B46A2" w:rsidP="001A5E24">
      <w:pPr>
        <w:pStyle w:val="Text"/>
        <w:numPr>
          <w:ilvl w:val="0"/>
          <w:numId w:val="1"/>
        </w:numPr>
        <w:tabs>
          <w:tab w:val="clear" w:pos="360"/>
          <w:tab w:val="clear" w:pos="540"/>
          <w:tab w:val="clear" w:pos="851"/>
          <w:tab w:val="clear" w:pos="1134"/>
          <w:tab w:val="clear" w:pos="2160"/>
        </w:tabs>
        <w:ind w:left="0" w:firstLine="709"/>
        <w:rPr>
          <w:b w:val="0"/>
        </w:rPr>
      </w:pPr>
      <w:r w:rsidRPr="00631854">
        <w:rPr>
          <w:b w:val="0"/>
        </w:rPr>
        <w:t>Граничні строки подання звіту про використання коштів.</w:t>
      </w:r>
    </w:p>
    <w:p w:rsidR="000B46A2" w:rsidRPr="00631854" w:rsidRDefault="000B46A2" w:rsidP="001A5E24">
      <w:pPr>
        <w:pStyle w:val="Text"/>
        <w:numPr>
          <w:ilvl w:val="0"/>
          <w:numId w:val="1"/>
        </w:numPr>
        <w:tabs>
          <w:tab w:val="clear" w:pos="360"/>
          <w:tab w:val="clear" w:pos="540"/>
          <w:tab w:val="clear" w:pos="851"/>
          <w:tab w:val="clear" w:pos="1134"/>
          <w:tab w:val="clear" w:pos="2160"/>
        </w:tabs>
        <w:ind w:left="0" w:firstLine="709"/>
        <w:rPr>
          <w:b w:val="0"/>
        </w:rPr>
      </w:pPr>
      <w:r w:rsidRPr="00631854">
        <w:rPr>
          <w:b w:val="0"/>
        </w:rPr>
        <w:t>Особливості використання платіжних карток у відрядженні.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Розкрийте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сутність попередньої оплати та визначте її місце в системі розрахунків.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Визначте основні засади правового регулювання здійснення попередньої оплати.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Охарактеризуйте нормативно-правовий акт, яким регламентується механізм реалізації попередньої оплати товарів, робіт і послуг, що закуповуються за бюджетні кошти.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Розкрийте порядок здійснення попередньої оплати товарів, робіт та послуг, що закуповуються за бюджетні кошти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Опишіть механізм отримання дозволу головного розпорядника коштів для проведення попередньої оплати.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Визначте для яких товарів, робіт і послуг,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що закуповуються за бюджетні кошти, термін попередньої оплати становить не більше одного місяця.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lastRenderedPageBreak/>
        <w:t>Визначте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перелік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товарів, робіт і послуг,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що закуповуються за бюджетні кошти, для яких термін попередньої оплати становить не більше трьох місяців.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Визначте для яких товарів, робіт і послуг,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що закуповуються за бюджетні кошти, термін попередньої оплати становить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не більше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восьми місяців.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Визначте для яких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робіт і послуг,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що закуповуються за бюджетні кошти, термін попередньої оплати становить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не більше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дев’яти місяців.</w:t>
      </w:r>
    </w:p>
    <w:p w:rsidR="000B46A2" w:rsidRPr="00631854" w:rsidRDefault="000B46A2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Визначте для яких товарів, робіт і послуг,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що закуповуються за бюджетні кошти, термін попередньої оплати становить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не більше одного року.</w:t>
      </w:r>
    </w:p>
    <w:p w:rsidR="0073571B" w:rsidRPr="00631854" w:rsidRDefault="0073571B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Охарактеризуйте основні функції публічних закупівель.</w:t>
      </w:r>
    </w:p>
    <w:p w:rsidR="0073571B" w:rsidRPr="00631854" w:rsidRDefault="0073571B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Визначте основні елементи створення системи закупівель.</w:t>
      </w:r>
    </w:p>
    <w:p w:rsidR="0073571B" w:rsidRPr="00631854" w:rsidRDefault="0073571B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Розкрийте сутність основних принципів публічних закупівель.</w:t>
      </w:r>
    </w:p>
    <w:p w:rsidR="0073571B" w:rsidRPr="00631854" w:rsidRDefault="0073571B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Дайте характеристику суб’єктів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публічних закупівель.</w:t>
      </w:r>
    </w:p>
    <w:p w:rsidR="0073571B" w:rsidRPr="00631854" w:rsidRDefault="0073571B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Визначте нормативно-правові акти, що регламентують проведення публічних закупівель в Україні.</w:t>
      </w:r>
    </w:p>
    <w:p w:rsidR="0073571B" w:rsidRPr="00631854" w:rsidRDefault="00864C30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73571B" w:rsidRPr="00631854">
        <w:rPr>
          <w:rFonts w:ascii="Times New Roman" w:hAnsi="Times New Roman"/>
          <w:sz w:val="28"/>
          <w:szCs w:val="28"/>
          <w:lang w:val="uk-UA"/>
        </w:rPr>
        <w:t>рганіз</w:t>
      </w:r>
      <w:r>
        <w:rPr>
          <w:rFonts w:ascii="Times New Roman" w:hAnsi="Times New Roman"/>
          <w:sz w:val="28"/>
          <w:szCs w:val="28"/>
          <w:lang w:val="uk-UA"/>
        </w:rPr>
        <w:t>ація</w:t>
      </w:r>
      <w:r w:rsidR="0073571B" w:rsidRPr="00631854">
        <w:rPr>
          <w:rFonts w:ascii="Times New Roman" w:hAnsi="Times New Roman"/>
          <w:sz w:val="28"/>
          <w:szCs w:val="28"/>
          <w:lang w:val="uk-UA"/>
        </w:rPr>
        <w:t xml:space="preserve"> закупівельн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="0073571B" w:rsidRPr="00631854">
        <w:rPr>
          <w:rFonts w:ascii="Times New Roman" w:hAnsi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/>
          <w:sz w:val="28"/>
          <w:szCs w:val="28"/>
          <w:lang w:val="uk-UA"/>
        </w:rPr>
        <w:t>іяльність в бюджетних установах.</w:t>
      </w:r>
    </w:p>
    <w:p w:rsidR="0073571B" w:rsidRPr="00631854" w:rsidRDefault="0073571B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Визначте порядок проведення допорогових закупівель.</w:t>
      </w:r>
    </w:p>
    <w:p w:rsidR="0073571B" w:rsidRPr="00631854" w:rsidRDefault="0073571B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Охарактеризуйте етапи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проведення відкритих торгів.</w:t>
      </w:r>
    </w:p>
    <w:p w:rsidR="0073571B" w:rsidRPr="00631854" w:rsidRDefault="0073571B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Розкрийте сутність процедури конкурентного діалогу.</w:t>
      </w:r>
    </w:p>
    <w:p w:rsidR="0073571B" w:rsidRPr="00631854" w:rsidRDefault="00864C30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73571B" w:rsidRPr="00631854">
        <w:rPr>
          <w:rFonts w:ascii="Times New Roman" w:hAnsi="Times New Roman"/>
          <w:sz w:val="28"/>
          <w:szCs w:val="28"/>
          <w:lang w:val="uk-UA"/>
        </w:rPr>
        <w:t>мови проведення переговорної процедури закупівлі.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31854">
        <w:rPr>
          <w:rFonts w:ascii="Times New Roman" w:hAnsi="Times New Roman"/>
          <w:spacing w:val="-4"/>
          <w:sz w:val="28"/>
          <w:szCs w:val="28"/>
          <w:lang w:val="uk-UA"/>
        </w:rPr>
        <w:t>Бюджетний процес та його стадії.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Поняття «бюджетний запит».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31854">
        <w:rPr>
          <w:rFonts w:ascii="Times New Roman" w:hAnsi="Times New Roman"/>
          <w:spacing w:val="-4"/>
          <w:sz w:val="28"/>
          <w:szCs w:val="28"/>
          <w:lang w:val="uk-UA"/>
        </w:rPr>
        <w:t>Поняття бюджетної програми.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Відповідальні виконавці бюджетних програм.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Процедура затвердження паспорта бюджетної програми.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Результативні показники бюджетної програми.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Складання звіту про виконання паспорта бюджетної програми.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Здійснення оцінки ефективності бюджетних програм.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Об’єкт аудиту ефективності виконання бюджетних програм.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Заходи впливу передбачені Бюджетним кодексом України за нецільове використання бюджетних коштів.</w:t>
      </w:r>
    </w:p>
    <w:p w:rsidR="005631EE" w:rsidRPr="00631854" w:rsidRDefault="00A06E0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631854">
        <w:rPr>
          <w:rFonts w:ascii="Times New Roman" w:hAnsi="Times New Roman"/>
          <w:sz w:val="28"/>
          <w:szCs w:val="28"/>
          <w:lang w:val="uk-UA"/>
        </w:rPr>
        <w:t xml:space="preserve">ермінологічна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="005631EE" w:rsidRPr="00631854">
        <w:rPr>
          <w:rFonts w:ascii="Times New Roman" w:hAnsi="Times New Roman"/>
          <w:sz w:val="28"/>
          <w:szCs w:val="28"/>
          <w:lang w:val="uk-UA"/>
        </w:rPr>
        <w:t>сновна з питань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31EE" w:rsidRPr="00631854">
        <w:rPr>
          <w:rFonts w:ascii="Times New Roman" w:hAnsi="Times New Roman"/>
          <w:sz w:val="28"/>
          <w:szCs w:val="28"/>
          <w:lang w:val="uk-UA"/>
        </w:rPr>
        <w:t>внутрішнього аудиту.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Основні</w:t>
      </w:r>
      <w:r w:rsidR="00864C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внутрішні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документи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з питань внутрішнього аудиту.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 xml:space="preserve">Види внутрішнього аудиту. 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Період планування діяльності з внутрішнього аудиту.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Підстави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для планування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проведення</w:t>
      </w:r>
      <w:r w:rsidR="00864C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внутрішнього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аудиту.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31854">
        <w:rPr>
          <w:rFonts w:ascii="Times New Roman" w:hAnsi="Times New Roman"/>
          <w:spacing w:val="-4"/>
          <w:sz w:val="28"/>
          <w:szCs w:val="28"/>
          <w:lang w:val="uk-UA"/>
        </w:rPr>
        <w:t>Повноваження державних</w:t>
      </w:r>
      <w:r w:rsidR="0063185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pacing w:val="-4"/>
          <w:sz w:val="28"/>
          <w:szCs w:val="28"/>
          <w:lang w:val="uk-UA"/>
        </w:rPr>
        <w:t>органів за розбудову і розвиток</w:t>
      </w:r>
      <w:r w:rsidR="0063185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pacing w:val="-4"/>
          <w:sz w:val="28"/>
          <w:szCs w:val="28"/>
          <w:lang w:val="uk-UA"/>
        </w:rPr>
        <w:t>внутрішнього аудиту.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 xml:space="preserve">Цілі внутрішнього аудиту. 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Внутрішній аудит</w:t>
      </w:r>
      <w:r w:rsidRPr="00631854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631854">
        <w:rPr>
          <w:rFonts w:ascii="Times New Roman" w:hAnsi="Times New Roman"/>
          <w:sz w:val="28"/>
          <w:szCs w:val="28"/>
          <w:lang w:val="uk-UA"/>
        </w:rPr>
        <w:t>невід’ємна складова програмно-цільового методу.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Європейська та вітчизняна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модель державного фінансового контролю.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 xml:space="preserve">Забезпечення державного фінансового контролю. 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Підстави для проведення внутрішнього аудиту.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Строки</w:t>
      </w:r>
      <w:r w:rsidR="00864C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проведення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внутрішнього аудиту.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Аудиторські докази.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lastRenderedPageBreak/>
        <w:t>Оформлення результатів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проведення внутрішнього аудиту.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Склад аудиторського звіту.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Аудиторський висновок.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Рекомендації</w:t>
      </w:r>
      <w:r w:rsidR="00864C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за</w:t>
      </w:r>
      <w:r w:rsidR="00864C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результатами</w:t>
      </w:r>
      <w:r w:rsidR="00864C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внутрішнього</w:t>
      </w:r>
      <w:r w:rsidR="006318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>аудиту.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Моніторинг врахування рекомендацій за результатами внутрішнього аудиту.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31854">
        <w:rPr>
          <w:rFonts w:ascii="Times New Roman" w:hAnsi="Times New Roman"/>
          <w:sz w:val="28"/>
          <w:szCs w:val="28"/>
          <w:lang w:val="uk-UA"/>
        </w:rPr>
        <w:t>Звітування про діяльність підрозділу</w:t>
      </w:r>
      <w:r w:rsidR="00864C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z w:val="28"/>
          <w:szCs w:val="28"/>
          <w:lang w:val="uk-UA"/>
        </w:rPr>
        <w:t xml:space="preserve">внутрішнього аудиту. </w:t>
      </w:r>
    </w:p>
    <w:p w:rsidR="005631EE" w:rsidRPr="00631854" w:rsidRDefault="005631EE" w:rsidP="001A5E24">
      <w:pPr>
        <w:pStyle w:val="a3"/>
        <w:numPr>
          <w:ilvl w:val="0"/>
          <w:numId w:val="1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31854">
        <w:rPr>
          <w:rFonts w:ascii="Times New Roman" w:hAnsi="Times New Roman"/>
          <w:spacing w:val="-4"/>
          <w:sz w:val="28"/>
          <w:szCs w:val="28"/>
          <w:lang w:val="uk-UA"/>
        </w:rPr>
        <w:t>Взаємовідносини з органами державної влади та/або</w:t>
      </w:r>
      <w:r w:rsidR="0063185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pacing w:val="-4"/>
          <w:sz w:val="28"/>
          <w:szCs w:val="28"/>
          <w:lang w:val="uk-UA"/>
        </w:rPr>
        <w:t>правоохоронних</w:t>
      </w:r>
      <w:r w:rsidR="0063185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631854">
        <w:rPr>
          <w:rFonts w:ascii="Times New Roman" w:hAnsi="Times New Roman"/>
          <w:spacing w:val="-4"/>
          <w:sz w:val="28"/>
          <w:szCs w:val="28"/>
          <w:lang w:val="uk-UA"/>
        </w:rPr>
        <w:t>органів по внутрішньому аудиту.</w:t>
      </w:r>
    </w:p>
    <w:p w:rsidR="005631EE" w:rsidRPr="00631854" w:rsidRDefault="005631EE" w:rsidP="001A5E24">
      <w:pPr>
        <w:pStyle w:val="a6"/>
        <w:numPr>
          <w:ilvl w:val="0"/>
          <w:numId w:val="1"/>
        </w:numPr>
        <w:tabs>
          <w:tab w:val="clear" w:pos="2160"/>
        </w:tabs>
        <w:ind w:left="0" w:firstLine="709"/>
        <w:jc w:val="both"/>
        <w:rPr>
          <w:b w:val="0"/>
          <w:szCs w:val="28"/>
          <w:lang w:eastAsia="uk-UA"/>
        </w:rPr>
      </w:pPr>
      <w:r w:rsidRPr="00631854">
        <w:rPr>
          <w:b w:val="0"/>
          <w:szCs w:val="28"/>
          <w:lang w:eastAsia="uk-UA"/>
        </w:rPr>
        <w:t>Поняття корупційного правопорушення.</w:t>
      </w:r>
    </w:p>
    <w:p w:rsidR="005631EE" w:rsidRPr="00631854" w:rsidRDefault="005631EE" w:rsidP="001A5E24">
      <w:pPr>
        <w:pStyle w:val="a6"/>
        <w:numPr>
          <w:ilvl w:val="0"/>
          <w:numId w:val="1"/>
        </w:numPr>
        <w:tabs>
          <w:tab w:val="clear" w:pos="2160"/>
        </w:tabs>
        <w:ind w:left="0" w:firstLine="709"/>
        <w:jc w:val="both"/>
        <w:rPr>
          <w:b w:val="0"/>
          <w:szCs w:val="28"/>
          <w:lang w:eastAsia="uk-UA"/>
        </w:rPr>
      </w:pPr>
      <w:r w:rsidRPr="00631854">
        <w:rPr>
          <w:b w:val="0"/>
          <w:szCs w:val="28"/>
          <w:lang w:eastAsia="uk-UA"/>
        </w:rPr>
        <w:t>Поняття корупційних злочинів.</w:t>
      </w:r>
    </w:p>
    <w:p w:rsidR="005631EE" w:rsidRPr="00631854" w:rsidRDefault="005631EE" w:rsidP="001A5E24">
      <w:pPr>
        <w:pStyle w:val="a6"/>
        <w:numPr>
          <w:ilvl w:val="0"/>
          <w:numId w:val="1"/>
        </w:numPr>
        <w:tabs>
          <w:tab w:val="clear" w:pos="2160"/>
        </w:tabs>
        <w:ind w:left="0" w:firstLine="709"/>
        <w:jc w:val="both"/>
        <w:rPr>
          <w:b w:val="0"/>
          <w:szCs w:val="28"/>
          <w:lang w:eastAsia="uk-UA"/>
        </w:rPr>
      </w:pPr>
      <w:r w:rsidRPr="00631854">
        <w:rPr>
          <w:b w:val="0"/>
          <w:szCs w:val="28"/>
        </w:rPr>
        <w:t>Зловживання владою або службовим становищем.</w:t>
      </w:r>
    </w:p>
    <w:p w:rsidR="005631EE" w:rsidRPr="00631854" w:rsidRDefault="00A06E0E" w:rsidP="001A5E24">
      <w:pPr>
        <w:pStyle w:val="a6"/>
        <w:numPr>
          <w:ilvl w:val="0"/>
          <w:numId w:val="1"/>
        </w:numPr>
        <w:tabs>
          <w:tab w:val="clear" w:pos="2160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Поняття</w:t>
      </w:r>
      <w:r w:rsidR="005631EE" w:rsidRPr="00631854">
        <w:rPr>
          <w:b w:val="0"/>
          <w:szCs w:val="28"/>
        </w:rPr>
        <w:t xml:space="preserve"> неправомірної вигоди.</w:t>
      </w:r>
    </w:p>
    <w:p w:rsidR="005631EE" w:rsidRPr="00631854" w:rsidRDefault="005631EE" w:rsidP="001A5E24">
      <w:pPr>
        <w:pStyle w:val="a6"/>
        <w:numPr>
          <w:ilvl w:val="0"/>
          <w:numId w:val="1"/>
        </w:numPr>
        <w:tabs>
          <w:tab w:val="clear" w:pos="2160"/>
        </w:tabs>
        <w:ind w:left="0" w:firstLine="709"/>
        <w:jc w:val="both"/>
        <w:rPr>
          <w:b w:val="0"/>
          <w:szCs w:val="28"/>
        </w:rPr>
      </w:pPr>
      <w:r w:rsidRPr="00631854">
        <w:rPr>
          <w:b w:val="0"/>
          <w:szCs w:val="28"/>
        </w:rPr>
        <w:t>Поняття незаконного збагачення.</w:t>
      </w:r>
    </w:p>
    <w:p w:rsidR="005631EE" w:rsidRPr="00631854" w:rsidRDefault="005631EE" w:rsidP="001A5E24">
      <w:pPr>
        <w:pStyle w:val="a6"/>
        <w:numPr>
          <w:ilvl w:val="0"/>
          <w:numId w:val="1"/>
        </w:numPr>
        <w:tabs>
          <w:tab w:val="clear" w:pos="2160"/>
        </w:tabs>
        <w:ind w:left="0" w:firstLine="709"/>
        <w:jc w:val="both"/>
        <w:rPr>
          <w:b w:val="0"/>
          <w:szCs w:val="28"/>
          <w:lang w:eastAsia="uk-UA"/>
        </w:rPr>
      </w:pPr>
      <w:r w:rsidRPr="00631854">
        <w:rPr>
          <w:b w:val="0"/>
          <w:szCs w:val="28"/>
        </w:rPr>
        <w:t>Охарактеризуйте суб’єкт незаконного збагачення.</w:t>
      </w:r>
    </w:p>
    <w:p w:rsidR="005631EE" w:rsidRPr="00631854" w:rsidRDefault="005631EE" w:rsidP="001A5E24">
      <w:pPr>
        <w:pStyle w:val="a6"/>
        <w:numPr>
          <w:ilvl w:val="0"/>
          <w:numId w:val="1"/>
        </w:numPr>
        <w:tabs>
          <w:tab w:val="clear" w:pos="2160"/>
        </w:tabs>
        <w:ind w:left="0" w:firstLine="709"/>
        <w:jc w:val="both"/>
        <w:rPr>
          <w:b w:val="0"/>
          <w:szCs w:val="28"/>
          <w:lang w:eastAsia="uk-UA"/>
        </w:rPr>
      </w:pPr>
      <w:r w:rsidRPr="00631854">
        <w:rPr>
          <w:b w:val="0"/>
          <w:szCs w:val="28"/>
          <w:lang w:eastAsia="uk-UA"/>
        </w:rPr>
        <w:t>Поняття та ознаки шахрайства.</w:t>
      </w:r>
    </w:p>
    <w:p w:rsidR="005631EE" w:rsidRPr="00631854" w:rsidRDefault="005631EE" w:rsidP="001A5E24">
      <w:pPr>
        <w:pStyle w:val="a6"/>
        <w:numPr>
          <w:ilvl w:val="0"/>
          <w:numId w:val="1"/>
        </w:numPr>
        <w:tabs>
          <w:tab w:val="clear" w:pos="2160"/>
        </w:tabs>
        <w:ind w:left="0" w:firstLine="709"/>
        <w:jc w:val="both"/>
        <w:rPr>
          <w:b w:val="0"/>
          <w:szCs w:val="28"/>
          <w:lang w:eastAsia="uk-UA"/>
        </w:rPr>
      </w:pPr>
      <w:r w:rsidRPr="00631854">
        <w:rPr>
          <w:b w:val="0"/>
          <w:szCs w:val="28"/>
        </w:rPr>
        <w:t>Привласнення майна, яке було ввірене особі.</w:t>
      </w:r>
    </w:p>
    <w:sectPr w:rsidR="005631EE" w:rsidRPr="006318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694F"/>
    <w:multiLevelType w:val="hybridMultilevel"/>
    <w:tmpl w:val="EBF474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83027CF"/>
    <w:multiLevelType w:val="hybridMultilevel"/>
    <w:tmpl w:val="E4ECB9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A629CC"/>
    <w:multiLevelType w:val="hybridMultilevel"/>
    <w:tmpl w:val="57F829A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FE362C"/>
    <w:multiLevelType w:val="hybridMultilevel"/>
    <w:tmpl w:val="CAF0DE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D116F"/>
    <w:multiLevelType w:val="hybridMultilevel"/>
    <w:tmpl w:val="5A920C4C"/>
    <w:lvl w:ilvl="0" w:tplc="EFF05E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772041"/>
    <w:multiLevelType w:val="hybridMultilevel"/>
    <w:tmpl w:val="D234B382"/>
    <w:lvl w:ilvl="0" w:tplc="E24E8F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" w15:restartNumberingAfterBreak="0">
    <w:nsid w:val="3FD521B3"/>
    <w:multiLevelType w:val="hybridMultilevel"/>
    <w:tmpl w:val="2BEEAD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682C"/>
    <w:multiLevelType w:val="hybridMultilevel"/>
    <w:tmpl w:val="6B7E2CD2"/>
    <w:lvl w:ilvl="0" w:tplc="9604B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108FA"/>
    <w:multiLevelType w:val="hybridMultilevel"/>
    <w:tmpl w:val="8922459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434B8B"/>
    <w:multiLevelType w:val="hybridMultilevel"/>
    <w:tmpl w:val="BEFC5BA2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74512027"/>
    <w:multiLevelType w:val="hybridMultilevel"/>
    <w:tmpl w:val="8A4C1360"/>
    <w:lvl w:ilvl="0" w:tplc="FEC803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754E75DF"/>
    <w:multiLevelType w:val="hybridMultilevel"/>
    <w:tmpl w:val="4D32DBE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5E80521"/>
    <w:multiLevelType w:val="hybridMultilevel"/>
    <w:tmpl w:val="FB6E32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F234A"/>
    <w:multiLevelType w:val="hybridMultilevel"/>
    <w:tmpl w:val="F380F960"/>
    <w:lvl w:ilvl="0" w:tplc="6FFA4310">
      <w:start w:val="1"/>
      <w:numFmt w:val="decimal"/>
      <w:pStyle w:val="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A667A12"/>
    <w:multiLevelType w:val="hybridMultilevel"/>
    <w:tmpl w:val="0C822FDE"/>
    <w:lvl w:ilvl="0" w:tplc="E24E8F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5" w15:restartNumberingAfterBreak="0">
    <w:nsid w:val="7CBA4A8A"/>
    <w:multiLevelType w:val="hybridMultilevel"/>
    <w:tmpl w:val="E92CF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6"/>
  </w:num>
  <w:num w:numId="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E8"/>
    <w:rsid w:val="00017179"/>
    <w:rsid w:val="0002471C"/>
    <w:rsid w:val="00054978"/>
    <w:rsid w:val="00071DD0"/>
    <w:rsid w:val="000768F9"/>
    <w:rsid w:val="000938B7"/>
    <w:rsid w:val="000A5459"/>
    <w:rsid w:val="000B46A2"/>
    <w:rsid w:val="000F33C7"/>
    <w:rsid w:val="00124C81"/>
    <w:rsid w:val="00141E41"/>
    <w:rsid w:val="001600BC"/>
    <w:rsid w:val="001923C2"/>
    <w:rsid w:val="001A02E1"/>
    <w:rsid w:val="001A4D06"/>
    <w:rsid w:val="001A5E24"/>
    <w:rsid w:val="001D144C"/>
    <w:rsid w:val="002100E6"/>
    <w:rsid w:val="00226E80"/>
    <w:rsid w:val="002621F7"/>
    <w:rsid w:val="002B3E5C"/>
    <w:rsid w:val="002F795F"/>
    <w:rsid w:val="00341896"/>
    <w:rsid w:val="003631C1"/>
    <w:rsid w:val="003B544B"/>
    <w:rsid w:val="003E201B"/>
    <w:rsid w:val="004313C2"/>
    <w:rsid w:val="00435587"/>
    <w:rsid w:val="00467F41"/>
    <w:rsid w:val="004A638B"/>
    <w:rsid w:val="004D530E"/>
    <w:rsid w:val="005232C2"/>
    <w:rsid w:val="00535DE0"/>
    <w:rsid w:val="005631EE"/>
    <w:rsid w:val="0059467A"/>
    <w:rsid w:val="006244E0"/>
    <w:rsid w:val="00631854"/>
    <w:rsid w:val="00642A72"/>
    <w:rsid w:val="00683D87"/>
    <w:rsid w:val="006C2F42"/>
    <w:rsid w:val="007108CF"/>
    <w:rsid w:val="0073452C"/>
    <w:rsid w:val="0073571B"/>
    <w:rsid w:val="0077697D"/>
    <w:rsid w:val="007A0493"/>
    <w:rsid w:val="007A4201"/>
    <w:rsid w:val="007D69E5"/>
    <w:rsid w:val="007D6A41"/>
    <w:rsid w:val="007E7348"/>
    <w:rsid w:val="007F11F8"/>
    <w:rsid w:val="008065C8"/>
    <w:rsid w:val="00851E0F"/>
    <w:rsid w:val="00864C30"/>
    <w:rsid w:val="008A3B2A"/>
    <w:rsid w:val="009013AB"/>
    <w:rsid w:val="00906FC4"/>
    <w:rsid w:val="00943009"/>
    <w:rsid w:val="00945827"/>
    <w:rsid w:val="00A06E0E"/>
    <w:rsid w:val="00A5724D"/>
    <w:rsid w:val="00A728DE"/>
    <w:rsid w:val="00B204D4"/>
    <w:rsid w:val="00B55EF8"/>
    <w:rsid w:val="00B63FB7"/>
    <w:rsid w:val="00B7067D"/>
    <w:rsid w:val="00B80A59"/>
    <w:rsid w:val="00B87989"/>
    <w:rsid w:val="00B9119B"/>
    <w:rsid w:val="00BA0721"/>
    <w:rsid w:val="00C0657C"/>
    <w:rsid w:val="00C17D4B"/>
    <w:rsid w:val="00C41C95"/>
    <w:rsid w:val="00C524C6"/>
    <w:rsid w:val="00C9567F"/>
    <w:rsid w:val="00C9708D"/>
    <w:rsid w:val="00CC201F"/>
    <w:rsid w:val="00CF4BAB"/>
    <w:rsid w:val="00D12216"/>
    <w:rsid w:val="00D878EB"/>
    <w:rsid w:val="00D9181B"/>
    <w:rsid w:val="00D96B9A"/>
    <w:rsid w:val="00DC3CC6"/>
    <w:rsid w:val="00DC5C25"/>
    <w:rsid w:val="00E32C9D"/>
    <w:rsid w:val="00E51DE8"/>
    <w:rsid w:val="00E52E4F"/>
    <w:rsid w:val="00E575DE"/>
    <w:rsid w:val="00E912A8"/>
    <w:rsid w:val="00EA683C"/>
    <w:rsid w:val="00EB49B8"/>
    <w:rsid w:val="00EE7660"/>
    <w:rsid w:val="00EE79CC"/>
    <w:rsid w:val="00F41351"/>
    <w:rsid w:val="00F41866"/>
    <w:rsid w:val="00F851F3"/>
    <w:rsid w:val="00FB2EF8"/>
    <w:rsid w:val="00F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C87A9-776D-4759-85A7-ACAFF581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E1"/>
    <w:pPr>
      <w:ind w:left="720"/>
      <w:contextualSpacing/>
    </w:pPr>
    <w:rPr>
      <w:lang w:val="ru-RU"/>
    </w:rPr>
  </w:style>
  <w:style w:type="paragraph" w:customStyle="1" w:styleId="Style4">
    <w:name w:val="Style4"/>
    <w:basedOn w:val="a"/>
    <w:uiPriority w:val="99"/>
    <w:rsid w:val="000A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8">
    <w:name w:val="Основной текст (8) + Не полужирный"/>
    <w:basedOn w:val="a0"/>
    <w:rsid w:val="003E201B"/>
    <w:rPr>
      <w:rFonts w:ascii="Calibri" w:hAnsi="Calibri" w:cs="Calibri"/>
      <w:spacing w:val="0"/>
      <w:sz w:val="21"/>
      <w:szCs w:val="21"/>
    </w:rPr>
  </w:style>
  <w:style w:type="paragraph" w:styleId="a4">
    <w:name w:val="Normal (Web)"/>
    <w:basedOn w:val="a"/>
    <w:uiPriority w:val="99"/>
    <w:rsid w:val="0001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59467A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western">
    <w:name w:val="western"/>
    <w:basedOn w:val="a"/>
    <w:rsid w:val="00594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59467A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59467A"/>
    <w:pPr>
      <w:numPr>
        <w:numId w:val="2"/>
      </w:numPr>
      <w:spacing w:after="0" w:line="240" w:lineRule="auto"/>
      <w:ind w:left="993" w:hanging="284"/>
      <w:jc w:val="both"/>
    </w:pPr>
    <w:rPr>
      <w:rFonts w:ascii="Times New Roman" w:eastAsia="Times New Roman" w:hAnsi="Times New Roman"/>
      <w:bCs/>
      <w:noProof/>
      <w:sz w:val="28"/>
      <w:szCs w:val="28"/>
      <w:lang w:eastAsia="ru-RU"/>
    </w:rPr>
  </w:style>
  <w:style w:type="paragraph" w:customStyle="1" w:styleId="psection">
    <w:name w:val="psection"/>
    <w:basedOn w:val="a"/>
    <w:rsid w:val="000B4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ext">
    <w:name w:val="Text"/>
    <w:basedOn w:val="a"/>
    <w:autoRedefine/>
    <w:rsid w:val="000B46A2"/>
    <w:pPr>
      <w:widowControl w:val="0"/>
      <w:suppressLineNumbers/>
      <w:shd w:val="clear" w:color="auto" w:fill="FFFFFF"/>
      <w:tabs>
        <w:tab w:val="left" w:pos="360"/>
        <w:tab w:val="left" w:pos="540"/>
        <w:tab w:val="left" w:pos="851"/>
        <w:tab w:val="left" w:pos="1134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pacing w:val="-6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rsid w:val="005631E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631E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dcterms:created xsi:type="dcterms:W3CDTF">2017-11-06T15:23:00Z</dcterms:created>
  <dcterms:modified xsi:type="dcterms:W3CDTF">2017-11-06T15:23:00Z</dcterms:modified>
</cp:coreProperties>
</file>