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590" w:rsidRDefault="00EE2590" w:rsidP="009D7165">
      <w:pPr>
        <w:tabs>
          <w:tab w:val="left" w:pos="1134"/>
        </w:tabs>
        <w:spacing w:after="0" w:line="240" w:lineRule="auto"/>
        <w:jc w:val="center"/>
        <w:rPr>
          <w:rFonts w:ascii="Times New Roman" w:hAnsi="Times New Roman"/>
          <w:b/>
          <w:sz w:val="32"/>
          <w:szCs w:val="32"/>
        </w:rPr>
      </w:pPr>
      <w:r w:rsidRPr="0030782E">
        <w:rPr>
          <w:rFonts w:ascii="Times New Roman" w:hAnsi="Times New Roman"/>
          <w:b/>
          <w:sz w:val="32"/>
          <w:szCs w:val="32"/>
        </w:rPr>
        <w:t xml:space="preserve">ПЕРЕЛІК ПИТАНЬ ДО КОМПЛЕКСНОГО </w:t>
      </w:r>
    </w:p>
    <w:p w:rsidR="00EE2590" w:rsidRPr="0030782E" w:rsidRDefault="00EE2590" w:rsidP="009D7165">
      <w:pPr>
        <w:tabs>
          <w:tab w:val="left" w:pos="1134"/>
        </w:tabs>
        <w:spacing w:after="0" w:line="240" w:lineRule="auto"/>
        <w:jc w:val="center"/>
        <w:rPr>
          <w:rFonts w:ascii="Times New Roman" w:hAnsi="Times New Roman"/>
          <w:b/>
          <w:sz w:val="32"/>
          <w:szCs w:val="32"/>
        </w:rPr>
      </w:pPr>
      <w:r w:rsidRPr="0030782E">
        <w:rPr>
          <w:rFonts w:ascii="Times New Roman" w:hAnsi="Times New Roman"/>
          <w:b/>
          <w:sz w:val="32"/>
          <w:szCs w:val="32"/>
        </w:rPr>
        <w:t>ПІДСУМКОВОГО ЕКЗАМЕНУ</w:t>
      </w:r>
    </w:p>
    <w:p w:rsidR="00E91D5F" w:rsidRPr="00E91D5F" w:rsidRDefault="00E91D5F" w:rsidP="009D7165">
      <w:pPr>
        <w:pStyle w:val="40"/>
        <w:shd w:val="clear" w:color="auto" w:fill="auto"/>
        <w:spacing w:before="0" w:line="240" w:lineRule="auto"/>
        <w:ind w:right="23"/>
        <w:rPr>
          <w:lang w:val="uk-UA"/>
        </w:rPr>
      </w:pPr>
      <w:r w:rsidRPr="00E91D5F">
        <w:rPr>
          <w:lang w:val="uk-UA"/>
        </w:rPr>
        <w:t xml:space="preserve">зі спеціалізації працівників карного розшуку </w:t>
      </w:r>
    </w:p>
    <w:p w:rsidR="00E91D5F" w:rsidRPr="00E91D5F" w:rsidRDefault="00E91D5F" w:rsidP="009D7165">
      <w:pPr>
        <w:pStyle w:val="40"/>
        <w:shd w:val="clear" w:color="auto" w:fill="auto"/>
        <w:spacing w:before="0" w:line="240" w:lineRule="auto"/>
        <w:ind w:right="23"/>
        <w:rPr>
          <w:highlight w:val="yellow"/>
          <w:lang w:val="uk-UA"/>
        </w:rPr>
      </w:pPr>
      <w:r w:rsidRPr="00E91D5F">
        <w:rPr>
          <w:lang w:val="uk-UA"/>
        </w:rPr>
        <w:t>Національної поліції України</w:t>
      </w:r>
    </w:p>
    <w:p w:rsidR="00EE2590" w:rsidRPr="00CE3B65" w:rsidRDefault="00EE2590" w:rsidP="009D7165">
      <w:pPr>
        <w:tabs>
          <w:tab w:val="left" w:pos="1276"/>
        </w:tabs>
        <w:spacing w:after="0" w:line="240" w:lineRule="auto"/>
        <w:jc w:val="center"/>
        <w:rPr>
          <w:rFonts w:ascii="Times New Roman" w:hAnsi="Times New Roman"/>
          <w:bCs/>
          <w:sz w:val="28"/>
          <w:szCs w:val="28"/>
        </w:rPr>
      </w:pPr>
    </w:p>
    <w:p w:rsidR="00E91D5F" w:rsidRPr="00E91D5F" w:rsidRDefault="00E91D5F" w:rsidP="009D7165">
      <w:pPr>
        <w:numPr>
          <w:ilvl w:val="0"/>
          <w:numId w:val="1"/>
        </w:numPr>
        <w:spacing w:after="0" w:line="240" w:lineRule="auto"/>
        <w:ind w:left="0" w:firstLine="709"/>
        <w:jc w:val="both"/>
        <w:rPr>
          <w:rFonts w:ascii="Times New Roman" w:hAnsi="Times New Roman"/>
          <w:sz w:val="28"/>
          <w:szCs w:val="28"/>
        </w:rPr>
      </w:pPr>
      <w:r w:rsidRPr="00E91D5F">
        <w:rPr>
          <w:rFonts w:ascii="Times New Roman" w:hAnsi="Times New Roman"/>
          <w:sz w:val="28"/>
          <w:szCs w:val="28"/>
        </w:rPr>
        <w:t>Обмеження щодо одержання подарунків згідно з Законом України   «Про запобігання корупції».</w:t>
      </w:r>
    </w:p>
    <w:p w:rsidR="00E91D5F" w:rsidRPr="00E91D5F" w:rsidRDefault="00E91D5F" w:rsidP="009D7165">
      <w:pPr>
        <w:numPr>
          <w:ilvl w:val="0"/>
          <w:numId w:val="1"/>
        </w:numPr>
        <w:spacing w:after="0" w:line="240" w:lineRule="auto"/>
        <w:ind w:left="0" w:firstLine="709"/>
        <w:jc w:val="both"/>
        <w:rPr>
          <w:rFonts w:ascii="Times New Roman" w:hAnsi="Times New Roman"/>
          <w:sz w:val="28"/>
          <w:szCs w:val="28"/>
        </w:rPr>
      </w:pPr>
      <w:r w:rsidRPr="00E91D5F">
        <w:rPr>
          <w:rFonts w:ascii="Times New Roman" w:hAnsi="Times New Roman"/>
          <w:sz w:val="28"/>
          <w:szCs w:val="28"/>
        </w:rPr>
        <w:t xml:space="preserve">Обмеження сумісництва та суміщення з іншими видами діяльності для поліцейського. </w:t>
      </w:r>
    </w:p>
    <w:p w:rsidR="00E91D5F" w:rsidRPr="00E91D5F" w:rsidRDefault="00E91D5F" w:rsidP="009D7165">
      <w:pPr>
        <w:numPr>
          <w:ilvl w:val="0"/>
          <w:numId w:val="1"/>
        </w:numPr>
        <w:spacing w:after="0" w:line="240" w:lineRule="auto"/>
        <w:ind w:left="0" w:firstLine="709"/>
        <w:jc w:val="both"/>
        <w:rPr>
          <w:rFonts w:ascii="Times New Roman" w:hAnsi="Times New Roman"/>
          <w:sz w:val="28"/>
          <w:szCs w:val="28"/>
        </w:rPr>
      </w:pPr>
      <w:r w:rsidRPr="00E91D5F">
        <w:rPr>
          <w:rFonts w:ascii="Times New Roman" w:hAnsi="Times New Roman"/>
          <w:sz w:val="28"/>
          <w:szCs w:val="28"/>
        </w:rPr>
        <w:t>Дії поліцейського у разі надходження пропозиції щодо неправомірної вигоди або подарунка.</w:t>
      </w:r>
    </w:p>
    <w:p w:rsidR="00E91D5F" w:rsidRPr="00E91D5F" w:rsidRDefault="00E91D5F" w:rsidP="009D7165">
      <w:pPr>
        <w:numPr>
          <w:ilvl w:val="0"/>
          <w:numId w:val="1"/>
        </w:numPr>
        <w:tabs>
          <w:tab w:val="left" w:pos="426"/>
        </w:tabs>
        <w:spacing w:after="0" w:line="240" w:lineRule="auto"/>
        <w:ind w:left="0" w:firstLine="709"/>
        <w:jc w:val="both"/>
        <w:rPr>
          <w:rFonts w:ascii="Times New Roman" w:hAnsi="Times New Roman"/>
          <w:sz w:val="28"/>
          <w:szCs w:val="28"/>
        </w:rPr>
      </w:pPr>
      <w:r w:rsidRPr="00E91D5F">
        <w:rPr>
          <w:rFonts w:ascii="Times New Roman" w:hAnsi="Times New Roman"/>
          <w:sz w:val="28"/>
          <w:szCs w:val="28"/>
        </w:rPr>
        <w:t>Дії поліцейського, який виявив у своєму службовому приміщенні чи отримала майно, що може бути неправомірною вигодою, або подарунок.</w:t>
      </w:r>
    </w:p>
    <w:p w:rsidR="00E91D5F" w:rsidRPr="00E91D5F" w:rsidRDefault="00E91D5F" w:rsidP="009D7165">
      <w:pPr>
        <w:numPr>
          <w:ilvl w:val="0"/>
          <w:numId w:val="1"/>
        </w:numPr>
        <w:tabs>
          <w:tab w:val="left" w:pos="426"/>
        </w:tabs>
        <w:spacing w:after="0" w:line="240" w:lineRule="auto"/>
        <w:ind w:left="0" w:firstLine="709"/>
        <w:jc w:val="both"/>
        <w:rPr>
          <w:rFonts w:ascii="Times New Roman" w:hAnsi="Times New Roman"/>
          <w:sz w:val="28"/>
          <w:szCs w:val="28"/>
        </w:rPr>
      </w:pPr>
      <w:r w:rsidRPr="00E91D5F">
        <w:rPr>
          <w:rFonts w:ascii="Times New Roman" w:hAnsi="Times New Roman"/>
          <w:sz w:val="28"/>
          <w:szCs w:val="28"/>
        </w:rPr>
        <w:t>Додаткові заходи здійснення фінансового контролю відповідно до Закону України «Про запобігання корупції».</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Принцип в</w:t>
      </w:r>
      <w:r w:rsidRPr="00E91D5F">
        <w:rPr>
          <w:bCs/>
          <w:sz w:val="28"/>
          <w:szCs w:val="28"/>
        </w:rPr>
        <w:t>заємодії з населенням на засадах партнерства з</w:t>
      </w:r>
      <w:r w:rsidRPr="00E91D5F">
        <w:rPr>
          <w:sz w:val="28"/>
          <w:szCs w:val="28"/>
        </w:rPr>
        <w:t xml:space="preserve">гідно Закону України «Про Національну поліцію». </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Оцінка рівня довіри населення до поліції.</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Взаємодія з органами державної влади та місцевого самоврядування в діяльності поліції.</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 xml:space="preserve">Громадський контроль за діяльністю поліції, його визначення в законі. </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Інформація щорічного звіту про діяльність поліції відповідно до закону.</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Застосування вогнепальної зброї (ст. 46 Закону України «Про Національну поліцію»).</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Використання вогнепальної зброї (ст. 46 Закону України «Про Національну поліцію»).</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Порядок застосування поліцейських заходів примусу (ст. 43 Закону України «Про Національну поліцію»).</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Розкрити поняття необхідна оборона.</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Розкрити поняття уявна оборона.</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Розкрити поняття крайня необхідність.</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Закріплення за поліцейським вогнепальної зброї.</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 xml:space="preserve">Коли проводиться перевірка у працівників знань із заходів безпеки при поводженні з вогнепальною зброєю? </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Обов‘язки працівника поліції за яким закріплена вогнепальна зброя.</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Категорично заборонено працівнику поліції, за яким закріплена  вогнепальна зброя.</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Інструктажі з питань заходів безпеки при поводженні з вогнепальною зброєю. Види інструктажів.</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Заходи безпеки при поводженні з вогнепальною зброєю під час отримання її в черговій частині.</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 xml:space="preserve">Заходи безпеки при поводженні з вогнепальною зброєю під час здачі її до чергової частини. </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lastRenderedPageBreak/>
        <w:t xml:space="preserve">Заходи безпеки при поводженні з вогнепальною зброєю під час несення служби. </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Заходи безпеки при поводженні з вогнепальною зброєю під час проведення стрільб.</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Відповідальність за порушення заходів безпеки при поводженні з вогнепальною зброєю.</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Пістолет Макарова. Тактико-технічні характеристики, основні частини та механізми.</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Основні частини та механізми пістолета Макарова, їх призначення.</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Затримки при стрільбі з пістолета Макарова та способи їх усунення.</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Порядок неповного розбирання та збирання пістолета Макарова. Норматив № 2.</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Нормативи для пістолета Макарова.</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Пістолет «Форт-17». Тактико-технічні характеристики, основні частини та механізми.</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Основні частини та механізми пістолета «Форт-17», їх призначення.</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Рамка в зборі зі стволом пістолета «Форт-17». Будова та призначення.</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Затвор пістолета «Форт-17». Будова та призначення.</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Магазин пістолета «Форт-17». Будова та призначення.</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Затворна затримка пістолета «Форт-17». Будова та призначення.</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Зворотні пружини та направляюча вісь пістолета «Форт-17», їх призначення.</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Частини ударно-спускового механізму пістолета «Форт-17», їх призначення.</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Порядок неповного розбирання та збирання пістолета «Форт-17».</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Затримки при стрільбі з пістолета «Форт-17» та способи їх усунення.</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Призначення, умови та порядок виконання початкових вправ для стрільб з пістолета.</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bCs/>
          <w:color w:val="000000"/>
          <w:sz w:val="28"/>
          <w:szCs w:val="28"/>
          <w:lang w:eastAsia="uk-UA"/>
        </w:rPr>
        <w:t>Загальні правила тримання особи під вартою згідно Конституції України та Конвенції про захист прав людини і основоположних свобод.</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bCs/>
          <w:color w:val="000000"/>
          <w:sz w:val="28"/>
          <w:szCs w:val="28"/>
          <w:lang w:eastAsia="uk-UA"/>
        </w:rPr>
        <w:t>Проникнення до житла чи до іншого володіння особи у невідкладних випадках без вмотивованого рішення суду.</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bCs/>
          <w:color w:val="000000"/>
          <w:sz w:val="28"/>
          <w:szCs w:val="28"/>
          <w:lang w:eastAsia="uk-UA"/>
        </w:rPr>
        <w:t>Зміст права на свободу та недоторканність згідно ст. 5 «Право на свободу та особисту недоторканність» Конвенції про захист прав людини і основоположних свобод 1950 року.</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bCs/>
          <w:color w:val="000000"/>
          <w:sz w:val="28"/>
          <w:szCs w:val="28"/>
          <w:lang w:eastAsia="uk-UA"/>
        </w:rPr>
        <w:t>Порядок проведення обшуку у житлі чи іншому володінні особи.</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bCs/>
          <w:color w:val="000000"/>
          <w:sz w:val="28"/>
          <w:szCs w:val="28"/>
          <w:lang w:eastAsia="uk-UA"/>
        </w:rPr>
        <w:t>Право на таємницю листування, телефонних розмов, телеграфної та іншої кореспонденції та підстави його обмеження згідно Конституції України.</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Поняття неправомірної вигоди при вчиненні корупційних злочинів.</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Значний, великий та особливо великий розмір неправомірної вигоди при прийнятті пропозиції, обіцянки або одержанні її службовою особою.</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Істотна шкода (у ст.ст. 364, 364-1, 365, 365-2, 367 КК України) та тяжкі наслідки (у ст.ст. 364–367 КК України).</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Зміст суб’єктивної сторони складу злочину, передбаченого ст. 364 КК України (Зловживання владою або службовим становищем).</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lastRenderedPageBreak/>
        <w:t>Зміст пропозиції та обіцянки неправомірної вигоди.</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 xml:space="preserve">Сучасний стан пандемії ВІЛ-інфекції. </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Клінічна класифікація та загальний перебіг СНІДу.</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Особливості будови та життєдіяльності вірусу ВІЛ/СНІДу.</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Шляхи потрапляння вірусу імунодефіциту в організм людини та умови зараження ВІЛ-інфекцією.</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Групи особливого ризику для зараження ВІЛ/СНІДом на Україні.</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Принципи клініко-лабораторної діагностики ВІЛ/СНІДу.</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Шляхи профілактики СНІДу.</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Відповідальність за розголошування таємниці діагнозу ВІЛ-інфекції.</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Державна політика у галузі ВІЛ/СНІДу та формування здорового способу життя.</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Правила поведінки з інфікованими (хворими) на СНІД при виконанні службових обов’язків працівниками Національної поліції.</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Закономірності об’єктивної дійсності, що складають предмет науки криміналістики</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Завдання науки криміналістики.</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Система криміналістики.</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Криміналістична техніка як галузь криміналістики.</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Криміналістична тактика як галузь криміналістики.</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Система методів криміналістики.</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Наукові засади криміналістичної ідентифікації.</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Сутність криміналістичної ідентифікації.</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Форми криміналістичної ідентифікації.</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Ідентифікаційне поле.</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Ідентифікаційний період.</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Тактичний прийом.</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Криміналістична версія.</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Методи огляду місця події.</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Способи фіксації ходу та результатів слідчих (розшукових) дій.</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Завдання оперативно-розшукової діяльності, відповідно до Закону України «Про оперативно-розшукову діяльність».</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Органи, які зобов’язані сприяти здійсненню оперативно-розшукової діяльності, відповідно до Закону України «Про оперативно-розшукову діяльність».</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Підрозділи, які здійснюють оперативно-розшукову діяльність.</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 xml:space="preserve">Оперативно-розшукові справи. </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Принципи оперативно-розшукової діяльності, відповідно до Закону України «Про оперативно-розшукову діяльність».</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 xml:space="preserve">Прийняття рішень про проведення оперативно-розшукових </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Підстави проведення оперативно-розшукової діяльності.</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Документи, які містять підстави для проведення оперативно-розшукової діяльності.</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Здійснення перевірки особи без заведення оперативно-розшукової справи.</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Права працівників оперативних підрозділів.</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lastRenderedPageBreak/>
        <w:t>Ознайомлення слідчого з матеріалами оперативно-розшукової справи.</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Правовий статус оперативних підрозділів.</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Підстави призупинення оперативно-розшукових справ.</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 xml:space="preserve">Підстави закриття оперативно-розшукових справ. </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Використання матеріалів ОРД.</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Органи, які здійснюють контроль за ОРД.</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Нагляд за органами, які проводять ОРД.</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Виникнення загрози життю, здоров’ю або майну особи, яка залучається до виконання завдань ОРД.</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Права підрозділів, які здійснюють ОРД під час здійснення негласних слідчих (розшукових) дій.</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Документальне оформлення закриття оперативно-розшукової справи.</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Огляд і виїмка кореспонденції.</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Фіксація інформації, отриманої з транспортних телекомунікаційних мереж.</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Результати негласної слідчої (розшукової) дії із застосуванням технічних засобів.</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Технічні засоби, що застосовувалися під час проведення зняття інформації  з транспортних телекомунікаційних мереж та електронних інформаційних систем.</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 xml:space="preserve">Носії інформації або технічні засоби, як предмет дослідження спеціалістами або експертами. </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Ухвала слідчого  судді для здійснення контролю за вчиненням злочину.</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Виконання спеціального завдання з розкриття злочинної діяльності організованої групи чи злочинної організації.</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Строки виконання спеціального завдання з розкриття злочинної діяльності організованої групи чи злочинної організації.</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 xml:space="preserve">Виготовлення, утворення несправжніх (імітаційних) засобів. </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Негласне отримання зразків, необхідних для  порівняльного дослідження.</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Право слідчого використовувати інформацію, отриману внаслідок конфіденційного співробітництва.</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Інструкція з організації проведення негласних слідчих (розшукових) дій.</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Документи, що додаються до письмового доручення слідчого, прокурора на проведення негласної слідчої (розшукової) дії.</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Право оперативних підрозділів виходити за межі доручення слідчого, прокурора.</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 xml:space="preserve">Контроль за дотриманням строків і повноти виконання доручень слідчого, прокурора. </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Строки направлення протоколу про проведення негласних слідчих (розшукових) дій та додатки до нього.</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Засекречення матеріалів негласних слідчих (розшукових) дій.</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 xml:space="preserve">Підстави проведення заходів оперативного (ініціативного) пошуку.  </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lastRenderedPageBreak/>
        <w:t>Перелік заходів оперативного (ініціативного) пошуку.</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Мета проведення заходів оперативного (ініціативного) пошуку.</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Порядок проведення заходів оперативного (ініціативного) пошуку.</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Документи для отримання доступу до матеріалів оперативно-розшукової діяльності.</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Предмет прокурорського нагляду в оперативно-розшуковій діяльності.</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Міжнародне співробітництво у сфері оперативно-розшукової діяльності.</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Оперативно-розшукові заходи які проводяться під час розкриття злочинів проти статевої свободи та недоторканості особи, зґвалтувань, розбещення неповнолітніх.</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 xml:space="preserve">Знаряддя та засоби заволодіння автотранспортним засобом </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Оперативно-розшукові заходи з розкриття незаконних заволодінь транспортними засобами.</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Підстави для проведення оперативно-розшукової діяльності по злочинам, пов’язаним із незаконним обігом вогнепальної зброї, бойових припасів, вибухових речовин.</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Оперативно-розшукові заходи з розкриття злочинів, пов’язаних із незаконним обігом вогнепальної зброї, бойових припасів, вибухових речовин.</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Підставами для проведення розшуку підозрюваних, обвинувачених (підсудних), осіб, які ухиляються від відбування кримінального покарання.</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Види розшуку підозрюваних, обвинувачених (підсудних), осіб, які ухиляються від відбування кримінального покарання.</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Підстави закриття оперативно-розшукової справи щодо розшуку  особи, яка переховувалася від органів досудового розслідування,  слідчого судді, суду, ухилялася від відбування кримінального  покарання.</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Заходи з розшуку підозрюваних, обвинувачених (підсудних), осіб, які ухиляються від відбування кримінального покарання.</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 xml:space="preserve">Заходи з проведення установлення місцеперебування безвісно зниклих осіб. </w:t>
      </w:r>
    </w:p>
    <w:p w:rsidR="00E91D5F" w:rsidRPr="00E91D5F" w:rsidRDefault="00E91D5F" w:rsidP="009D7165">
      <w:pPr>
        <w:numPr>
          <w:ilvl w:val="0"/>
          <w:numId w:val="1"/>
        </w:numPr>
        <w:spacing w:after="0" w:line="240" w:lineRule="auto"/>
        <w:ind w:left="0" w:firstLine="709"/>
        <w:jc w:val="both"/>
        <w:rPr>
          <w:rFonts w:ascii="Times New Roman" w:eastAsia="Times New Roman" w:hAnsi="Times New Roman"/>
          <w:sz w:val="28"/>
          <w:szCs w:val="28"/>
        </w:rPr>
      </w:pPr>
      <w:r w:rsidRPr="00E91D5F">
        <w:rPr>
          <w:rFonts w:ascii="Times New Roman" w:eastAsia="Times New Roman" w:hAnsi="Times New Roman"/>
          <w:sz w:val="28"/>
          <w:szCs w:val="28"/>
        </w:rPr>
        <w:t>Умови оголошення в міжнародний розшук підозрюваного, обвинуваченого (підсудного), особи, яка ухиляється від відбування кримінального покарання.</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Поняття тактичної підготовки.</w:t>
      </w:r>
    </w:p>
    <w:p w:rsidR="00E91D5F" w:rsidRPr="00E91D5F" w:rsidRDefault="00E91D5F" w:rsidP="009D7165">
      <w:pPr>
        <w:pStyle w:val="a5"/>
        <w:numPr>
          <w:ilvl w:val="0"/>
          <w:numId w:val="1"/>
        </w:numPr>
        <w:tabs>
          <w:tab w:val="left" w:pos="284"/>
        </w:tabs>
        <w:spacing w:before="0" w:beforeAutospacing="0" w:after="0" w:afterAutospacing="0"/>
        <w:ind w:left="0" w:firstLine="709"/>
        <w:jc w:val="both"/>
        <w:rPr>
          <w:sz w:val="28"/>
          <w:szCs w:val="28"/>
        </w:rPr>
      </w:pPr>
      <w:r w:rsidRPr="00E91D5F">
        <w:rPr>
          <w:sz w:val="28"/>
          <w:szCs w:val="28"/>
        </w:rPr>
        <w:t>Навички, що набувають та вдосконалюють поліцейські на тактичній підготовці.</w:t>
      </w:r>
    </w:p>
    <w:p w:rsidR="00E91D5F" w:rsidRPr="00E91D5F" w:rsidRDefault="00E91D5F" w:rsidP="009D7165">
      <w:pPr>
        <w:pStyle w:val="a5"/>
        <w:numPr>
          <w:ilvl w:val="0"/>
          <w:numId w:val="1"/>
        </w:numPr>
        <w:tabs>
          <w:tab w:val="left" w:pos="284"/>
        </w:tabs>
        <w:spacing w:before="0" w:beforeAutospacing="0" w:after="0" w:afterAutospacing="0"/>
        <w:ind w:left="0" w:firstLine="709"/>
        <w:jc w:val="both"/>
        <w:rPr>
          <w:sz w:val="28"/>
          <w:szCs w:val="28"/>
        </w:rPr>
      </w:pPr>
      <w:r w:rsidRPr="00E91D5F">
        <w:rPr>
          <w:sz w:val="28"/>
          <w:szCs w:val="28"/>
        </w:rPr>
        <w:t>Завдання тактичної підготовки.</w:t>
      </w:r>
    </w:p>
    <w:p w:rsidR="00E91D5F" w:rsidRPr="00E91D5F" w:rsidRDefault="00E91D5F" w:rsidP="009D7165">
      <w:pPr>
        <w:pStyle w:val="a5"/>
        <w:numPr>
          <w:ilvl w:val="0"/>
          <w:numId w:val="1"/>
        </w:numPr>
        <w:tabs>
          <w:tab w:val="left" w:pos="284"/>
        </w:tabs>
        <w:spacing w:before="0" w:beforeAutospacing="0" w:after="0" w:afterAutospacing="0"/>
        <w:ind w:left="0" w:firstLine="709"/>
        <w:jc w:val="both"/>
        <w:rPr>
          <w:sz w:val="28"/>
          <w:szCs w:val="28"/>
        </w:rPr>
      </w:pPr>
      <w:r w:rsidRPr="00E91D5F">
        <w:rPr>
          <w:sz w:val="28"/>
          <w:szCs w:val="28"/>
        </w:rPr>
        <w:t>Складові комунікації (спілкування) поліцейського.</w:t>
      </w:r>
    </w:p>
    <w:p w:rsidR="00E91D5F" w:rsidRPr="00E91D5F" w:rsidRDefault="00E91D5F" w:rsidP="009D7165">
      <w:pPr>
        <w:pStyle w:val="a5"/>
        <w:numPr>
          <w:ilvl w:val="0"/>
          <w:numId w:val="1"/>
        </w:numPr>
        <w:spacing w:before="0" w:beforeAutospacing="0" w:after="0" w:afterAutospacing="0"/>
        <w:ind w:left="0" w:firstLine="709"/>
        <w:jc w:val="both"/>
        <w:rPr>
          <w:bCs/>
          <w:iCs/>
          <w:sz w:val="28"/>
          <w:szCs w:val="28"/>
        </w:rPr>
      </w:pPr>
      <w:r w:rsidRPr="00E91D5F">
        <w:rPr>
          <w:bCs/>
          <w:iCs/>
          <w:sz w:val="28"/>
          <w:szCs w:val="28"/>
        </w:rPr>
        <w:t>Вербальний самозахист.</w:t>
      </w:r>
    </w:p>
    <w:p w:rsidR="00E91D5F" w:rsidRPr="00E91D5F" w:rsidRDefault="00E91D5F" w:rsidP="009D7165">
      <w:pPr>
        <w:pStyle w:val="a5"/>
        <w:numPr>
          <w:ilvl w:val="0"/>
          <w:numId w:val="1"/>
        </w:numPr>
        <w:tabs>
          <w:tab w:val="left" w:pos="284"/>
        </w:tabs>
        <w:spacing w:before="0" w:beforeAutospacing="0" w:after="0" w:afterAutospacing="0"/>
        <w:ind w:left="0" w:firstLine="709"/>
        <w:jc w:val="both"/>
        <w:rPr>
          <w:sz w:val="28"/>
          <w:szCs w:val="28"/>
        </w:rPr>
      </w:pPr>
      <w:r w:rsidRPr="00E91D5F">
        <w:rPr>
          <w:sz w:val="28"/>
          <w:szCs w:val="28"/>
        </w:rPr>
        <w:t>Складові активного слухання.</w:t>
      </w:r>
    </w:p>
    <w:p w:rsidR="00E91D5F" w:rsidRPr="00E91D5F" w:rsidRDefault="00E91D5F" w:rsidP="009D7165">
      <w:pPr>
        <w:pStyle w:val="a5"/>
        <w:numPr>
          <w:ilvl w:val="0"/>
          <w:numId w:val="1"/>
        </w:numPr>
        <w:tabs>
          <w:tab w:val="left" w:pos="426"/>
        </w:tabs>
        <w:spacing w:before="0" w:beforeAutospacing="0" w:after="0" w:afterAutospacing="0"/>
        <w:ind w:left="0" w:firstLine="709"/>
        <w:jc w:val="both"/>
        <w:rPr>
          <w:rFonts w:eastAsia="Calibri"/>
          <w:sz w:val="28"/>
          <w:szCs w:val="28"/>
        </w:rPr>
      </w:pPr>
      <w:r w:rsidRPr="00E91D5F">
        <w:rPr>
          <w:rFonts w:eastAsia="Calibri"/>
          <w:sz w:val="28"/>
          <w:szCs w:val="28"/>
        </w:rPr>
        <w:t>Основні складові правильного розташування.</w:t>
      </w:r>
    </w:p>
    <w:p w:rsidR="00E91D5F" w:rsidRPr="00E91D5F" w:rsidRDefault="00E91D5F" w:rsidP="009D7165">
      <w:pPr>
        <w:pStyle w:val="a5"/>
        <w:numPr>
          <w:ilvl w:val="0"/>
          <w:numId w:val="1"/>
        </w:numPr>
        <w:tabs>
          <w:tab w:val="left" w:pos="284"/>
        </w:tabs>
        <w:spacing w:before="0" w:beforeAutospacing="0" w:after="0" w:afterAutospacing="0"/>
        <w:ind w:left="0" w:firstLine="709"/>
        <w:jc w:val="both"/>
        <w:rPr>
          <w:sz w:val="28"/>
          <w:szCs w:val="28"/>
        </w:rPr>
      </w:pPr>
      <w:r w:rsidRPr="00E91D5F">
        <w:rPr>
          <w:sz w:val="28"/>
          <w:szCs w:val="28"/>
        </w:rPr>
        <w:t>Категорії симптомів посттравматичного стресового розладу.</w:t>
      </w:r>
    </w:p>
    <w:p w:rsidR="00E91D5F" w:rsidRPr="00E91D5F" w:rsidRDefault="00E91D5F" w:rsidP="009D7165">
      <w:pPr>
        <w:pStyle w:val="a5"/>
        <w:numPr>
          <w:ilvl w:val="0"/>
          <w:numId w:val="1"/>
        </w:numPr>
        <w:tabs>
          <w:tab w:val="left" w:pos="284"/>
        </w:tabs>
        <w:spacing w:before="0" w:beforeAutospacing="0" w:after="0" w:afterAutospacing="0"/>
        <w:ind w:left="0" w:firstLine="709"/>
        <w:jc w:val="both"/>
        <w:rPr>
          <w:sz w:val="28"/>
          <w:szCs w:val="28"/>
        </w:rPr>
      </w:pPr>
      <w:r w:rsidRPr="00E91D5F">
        <w:rPr>
          <w:rFonts w:eastAsia="Calibri"/>
          <w:bCs/>
          <w:sz w:val="28"/>
          <w:szCs w:val="28"/>
        </w:rPr>
        <w:t>Ознаки активності або гіперактивності під час</w:t>
      </w:r>
      <w:r w:rsidRPr="00E91D5F">
        <w:rPr>
          <w:sz w:val="28"/>
          <w:szCs w:val="28"/>
        </w:rPr>
        <w:t xml:space="preserve"> посттравматичного стресового розладу.</w:t>
      </w:r>
    </w:p>
    <w:p w:rsidR="00E91D5F" w:rsidRPr="00E91D5F" w:rsidRDefault="00E91D5F" w:rsidP="009D7165">
      <w:pPr>
        <w:pStyle w:val="a5"/>
        <w:numPr>
          <w:ilvl w:val="0"/>
          <w:numId w:val="1"/>
        </w:numPr>
        <w:tabs>
          <w:tab w:val="left" w:pos="426"/>
        </w:tabs>
        <w:spacing w:before="0" w:beforeAutospacing="0" w:after="0" w:afterAutospacing="0"/>
        <w:ind w:left="0" w:firstLine="709"/>
        <w:jc w:val="both"/>
        <w:rPr>
          <w:rFonts w:eastAsia="Calibri"/>
          <w:sz w:val="28"/>
          <w:szCs w:val="28"/>
        </w:rPr>
      </w:pPr>
      <w:r w:rsidRPr="00E91D5F">
        <w:rPr>
          <w:rFonts w:eastAsia="Calibri"/>
          <w:sz w:val="28"/>
          <w:szCs w:val="28"/>
        </w:rPr>
        <w:t xml:space="preserve">Особлива категорія громадян при спілкуванні з поліцейським. </w:t>
      </w:r>
    </w:p>
    <w:p w:rsidR="00E91D5F" w:rsidRPr="00E91D5F" w:rsidRDefault="00E91D5F" w:rsidP="009D7165">
      <w:pPr>
        <w:pStyle w:val="a5"/>
        <w:numPr>
          <w:ilvl w:val="0"/>
          <w:numId w:val="1"/>
        </w:numPr>
        <w:tabs>
          <w:tab w:val="left" w:pos="426"/>
        </w:tabs>
        <w:spacing w:before="0" w:beforeAutospacing="0" w:after="0" w:afterAutospacing="0"/>
        <w:ind w:left="0" w:firstLine="709"/>
        <w:jc w:val="both"/>
        <w:rPr>
          <w:rFonts w:eastAsia="Calibri"/>
          <w:sz w:val="28"/>
          <w:szCs w:val="28"/>
        </w:rPr>
      </w:pPr>
      <w:r w:rsidRPr="00E91D5F">
        <w:rPr>
          <w:rFonts w:eastAsia="Calibri"/>
          <w:sz w:val="28"/>
          <w:szCs w:val="28"/>
        </w:rPr>
        <w:lastRenderedPageBreak/>
        <w:t xml:space="preserve">Категорії небезпек, що можуть виникнути під час </w:t>
      </w:r>
      <w:r w:rsidRPr="00E91D5F">
        <w:rPr>
          <w:bCs/>
          <w:color w:val="000000"/>
          <w:sz w:val="28"/>
          <w:szCs w:val="28"/>
        </w:rPr>
        <w:t>виконання оперативно-службових завдань працівниками поліції по забезпеченню публічної безпеки і порядку</w:t>
      </w:r>
      <w:r w:rsidRPr="00E91D5F">
        <w:rPr>
          <w:sz w:val="28"/>
          <w:szCs w:val="28"/>
        </w:rPr>
        <w:t>.</w:t>
      </w:r>
    </w:p>
    <w:p w:rsidR="00E91D5F" w:rsidRPr="00E91D5F" w:rsidRDefault="00E91D5F" w:rsidP="009D7165">
      <w:pPr>
        <w:pStyle w:val="a5"/>
        <w:numPr>
          <w:ilvl w:val="0"/>
          <w:numId w:val="1"/>
        </w:numPr>
        <w:tabs>
          <w:tab w:val="left" w:pos="426"/>
        </w:tabs>
        <w:spacing w:before="0" w:beforeAutospacing="0" w:after="0" w:afterAutospacing="0"/>
        <w:ind w:left="0" w:firstLine="709"/>
        <w:jc w:val="both"/>
        <w:rPr>
          <w:rFonts w:eastAsia="Calibri"/>
          <w:sz w:val="28"/>
          <w:szCs w:val="28"/>
        </w:rPr>
      </w:pPr>
      <w:r w:rsidRPr="00E91D5F">
        <w:rPr>
          <w:sz w:val="28"/>
          <w:szCs w:val="28"/>
        </w:rPr>
        <w:t>Значення тактичної концепції</w:t>
      </w:r>
      <w:r w:rsidRPr="00E91D5F">
        <w:rPr>
          <w:rFonts w:eastAsia="Calibri"/>
          <w:sz w:val="28"/>
          <w:szCs w:val="28"/>
        </w:rPr>
        <w:t xml:space="preserve"> контакт/прикриття поліцейськими на місці події.</w:t>
      </w:r>
    </w:p>
    <w:p w:rsidR="00E91D5F" w:rsidRPr="00E91D5F" w:rsidRDefault="00E91D5F" w:rsidP="009D7165">
      <w:pPr>
        <w:pStyle w:val="a5"/>
        <w:numPr>
          <w:ilvl w:val="0"/>
          <w:numId w:val="1"/>
        </w:numPr>
        <w:tabs>
          <w:tab w:val="left" w:pos="426"/>
        </w:tabs>
        <w:spacing w:before="0" w:beforeAutospacing="0" w:after="0" w:afterAutospacing="0"/>
        <w:ind w:left="0" w:firstLine="709"/>
        <w:jc w:val="both"/>
        <w:rPr>
          <w:rFonts w:eastAsia="Calibri"/>
          <w:sz w:val="28"/>
          <w:szCs w:val="28"/>
        </w:rPr>
      </w:pPr>
      <w:r w:rsidRPr="00E91D5F">
        <w:rPr>
          <w:rFonts w:eastAsia="Calibri"/>
          <w:sz w:val="28"/>
          <w:szCs w:val="28"/>
        </w:rPr>
        <w:t>Дії працівників поліції при переслідуванні правопорушника по «гарячих слідах».</w:t>
      </w:r>
    </w:p>
    <w:p w:rsidR="00E91D5F" w:rsidRPr="00E91D5F" w:rsidRDefault="00E91D5F" w:rsidP="009D7165">
      <w:pPr>
        <w:pStyle w:val="a5"/>
        <w:numPr>
          <w:ilvl w:val="0"/>
          <w:numId w:val="1"/>
        </w:numPr>
        <w:tabs>
          <w:tab w:val="left" w:pos="709"/>
          <w:tab w:val="left" w:pos="851"/>
        </w:tabs>
        <w:spacing w:before="0" w:beforeAutospacing="0" w:after="0" w:afterAutospacing="0"/>
        <w:ind w:left="0" w:firstLine="709"/>
        <w:jc w:val="both"/>
        <w:rPr>
          <w:sz w:val="28"/>
          <w:szCs w:val="28"/>
        </w:rPr>
      </w:pPr>
      <w:r w:rsidRPr="00E91D5F">
        <w:rPr>
          <w:sz w:val="28"/>
          <w:szCs w:val="28"/>
        </w:rPr>
        <w:t>Види затримання.</w:t>
      </w:r>
    </w:p>
    <w:p w:rsidR="00E91D5F" w:rsidRPr="00E91D5F" w:rsidRDefault="00E91D5F" w:rsidP="009D7165">
      <w:pPr>
        <w:pStyle w:val="a5"/>
        <w:numPr>
          <w:ilvl w:val="0"/>
          <w:numId w:val="1"/>
        </w:numPr>
        <w:tabs>
          <w:tab w:val="left" w:pos="426"/>
        </w:tabs>
        <w:spacing w:before="0" w:beforeAutospacing="0" w:after="0" w:afterAutospacing="0"/>
        <w:ind w:left="0" w:firstLine="709"/>
        <w:jc w:val="both"/>
        <w:rPr>
          <w:rFonts w:eastAsia="Calibri"/>
          <w:sz w:val="28"/>
          <w:szCs w:val="28"/>
        </w:rPr>
      </w:pPr>
      <w:r w:rsidRPr="00E91D5F">
        <w:rPr>
          <w:rFonts w:eastAsia="Calibri"/>
          <w:sz w:val="28"/>
          <w:szCs w:val="28"/>
        </w:rPr>
        <w:t>Дії працівника поліції при виникненні обставин, що вимагають негайно розпочати пошук правопорушника в не освітлюваному приміщенні.</w:t>
      </w:r>
    </w:p>
    <w:p w:rsidR="00E91D5F" w:rsidRPr="00E91D5F" w:rsidRDefault="00E91D5F" w:rsidP="009D7165">
      <w:pPr>
        <w:pStyle w:val="a5"/>
        <w:numPr>
          <w:ilvl w:val="0"/>
          <w:numId w:val="1"/>
        </w:numPr>
        <w:spacing w:before="0" w:beforeAutospacing="0" w:after="0" w:afterAutospacing="0"/>
        <w:ind w:left="0" w:firstLine="709"/>
        <w:jc w:val="both"/>
        <w:rPr>
          <w:rFonts w:eastAsia="Calibri"/>
          <w:sz w:val="28"/>
          <w:szCs w:val="28"/>
        </w:rPr>
      </w:pPr>
      <w:r w:rsidRPr="00E91D5F">
        <w:rPr>
          <w:rFonts w:eastAsia="Calibri"/>
          <w:sz w:val="28"/>
          <w:szCs w:val="28"/>
        </w:rPr>
        <w:t>Вимоги до появи працівників поліції на місті події.</w:t>
      </w:r>
    </w:p>
    <w:p w:rsidR="00E91D5F" w:rsidRPr="00E91D5F" w:rsidRDefault="00E91D5F" w:rsidP="009D7165">
      <w:pPr>
        <w:pStyle w:val="a5"/>
        <w:numPr>
          <w:ilvl w:val="0"/>
          <w:numId w:val="1"/>
        </w:numPr>
        <w:tabs>
          <w:tab w:val="left" w:pos="426"/>
        </w:tabs>
        <w:spacing w:before="0" w:beforeAutospacing="0" w:after="0" w:afterAutospacing="0"/>
        <w:ind w:left="0" w:firstLine="709"/>
        <w:jc w:val="both"/>
        <w:rPr>
          <w:rFonts w:eastAsia="Calibri"/>
          <w:sz w:val="28"/>
          <w:szCs w:val="28"/>
        </w:rPr>
      </w:pPr>
      <w:r w:rsidRPr="00E91D5F">
        <w:rPr>
          <w:sz w:val="28"/>
          <w:szCs w:val="28"/>
        </w:rPr>
        <w:t>Дії працівників поліції при одержанні повідомлення про нанесення особі тілесних ушкоджень</w:t>
      </w:r>
      <w:r w:rsidRPr="00E91D5F">
        <w:rPr>
          <w:rFonts w:eastAsia="Calibri"/>
          <w:sz w:val="28"/>
          <w:szCs w:val="28"/>
        </w:rPr>
        <w:t>.</w:t>
      </w:r>
    </w:p>
    <w:p w:rsidR="00E91D5F" w:rsidRPr="00E91D5F" w:rsidRDefault="00E91D5F" w:rsidP="009D7165">
      <w:pPr>
        <w:pStyle w:val="a5"/>
        <w:numPr>
          <w:ilvl w:val="0"/>
          <w:numId w:val="1"/>
        </w:numPr>
        <w:spacing w:before="0" w:beforeAutospacing="0" w:after="0" w:afterAutospacing="0"/>
        <w:ind w:left="0" w:firstLine="709"/>
        <w:jc w:val="both"/>
        <w:rPr>
          <w:bCs/>
          <w:sz w:val="28"/>
          <w:szCs w:val="28"/>
        </w:rPr>
      </w:pPr>
      <w:r w:rsidRPr="00E91D5F">
        <w:rPr>
          <w:sz w:val="28"/>
          <w:szCs w:val="28"/>
        </w:rPr>
        <w:t>Д</w:t>
      </w:r>
      <w:r w:rsidRPr="00E91D5F">
        <w:rPr>
          <w:bCs/>
          <w:sz w:val="28"/>
          <w:szCs w:val="28"/>
        </w:rPr>
        <w:t>ії працівників поліції при зверненні громадян про подію та при безпосередньому виявленні розбою, грабежу</w:t>
      </w:r>
      <w:r w:rsidRPr="00E91D5F">
        <w:rPr>
          <w:rFonts w:eastAsia="Calibri"/>
          <w:sz w:val="28"/>
          <w:szCs w:val="28"/>
        </w:rPr>
        <w:t>.</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П</w:t>
      </w:r>
      <w:r w:rsidRPr="00E91D5F">
        <w:rPr>
          <w:bCs/>
          <w:sz w:val="28"/>
          <w:szCs w:val="28"/>
        </w:rPr>
        <w:t xml:space="preserve">орядок дій працівника поліції при </w:t>
      </w:r>
      <w:r w:rsidRPr="00E91D5F">
        <w:rPr>
          <w:sz w:val="28"/>
          <w:szCs w:val="28"/>
        </w:rPr>
        <w:t>доставлянні правопорушників, підозрюваних осіб у вчиненні злочину до відділу поліції</w:t>
      </w:r>
      <w:r w:rsidRPr="00E91D5F">
        <w:rPr>
          <w:bCs/>
          <w:sz w:val="28"/>
          <w:szCs w:val="28"/>
        </w:rPr>
        <w:t xml:space="preserve"> пішим порядком</w:t>
      </w:r>
      <w:r w:rsidRPr="00E91D5F">
        <w:rPr>
          <w:rFonts w:eastAsia="Calibri"/>
          <w:sz w:val="28"/>
          <w:szCs w:val="28"/>
        </w:rPr>
        <w:t>.</w:t>
      </w:r>
    </w:p>
    <w:p w:rsidR="00E91D5F" w:rsidRPr="00E91D5F" w:rsidRDefault="00E91D5F" w:rsidP="009D7165">
      <w:pPr>
        <w:pStyle w:val="a5"/>
        <w:numPr>
          <w:ilvl w:val="0"/>
          <w:numId w:val="1"/>
        </w:numPr>
        <w:spacing w:before="0" w:beforeAutospacing="0" w:after="0" w:afterAutospacing="0"/>
        <w:ind w:left="0" w:firstLine="709"/>
        <w:jc w:val="both"/>
        <w:rPr>
          <w:bCs/>
          <w:sz w:val="28"/>
          <w:szCs w:val="28"/>
        </w:rPr>
      </w:pPr>
      <w:r w:rsidRPr="00E91D5F">
        <w:rPr>
          <w:sz w:val="28"/>
          <w:szCs w:val="28"/>
        </w:rPr>
        <w:t>П</w:t>
      </w:r>
      <w:r w:rsidRPr="00E91D5F">
        <w:rPr>
          <w:bCs/>
          <w:sz w:val="28"/>
          <w:szCs w:val="28"/>
        </w:rPr>
        <w:t>орядок дій працівника поліції при доставлянні підозрюваного транспортом</w:t>
      </w:r>
      <w:r w:rsidRPr="00E91D5F">
        <w:rPr>
          <w:rFonts w:eastAsia="Calibri"/>
          <w:sz w:val="28"/>
          <w:szCs w:val="28"/>
        </w:rPr>
        <w:t>.</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Р</w:t>
      </w:r>
      <w:r w:rsidRPr="00E91D5F">
        <w:rPr>
          <w:rFonts w:eastAsia="Calibri"/>
          <w:sz w:val="28"/>
          <w:szCs w:val="28"/>
        </w:rPr>
        <w:t>озташування працівників поліції під час зупинки транспортних засобів.</w:t>
      </w:r>
    </w:p>
    <w:p w:rsidR="00E91D5F" w:rsidRPr="00E91D5F" w:rsidRDefault="00E91D5F" w:rsidP="009D7165">
      <w:pPr>
        <w:pStyle w:val="a5"/>
        <w:numPr>
          <w:ilvl w:val="0"/>
          <w:numId w:val="1"/>
        </w:numPr>
        <w:spacing w:before="0" w:beforeAutospacing="0" w:after="0" w:afterAutospacing="0"/>
        <w:ind w:left="0" w:firstLine="709"/>
        <w:jc w:val="both"/>
        <w:rPr>
          <w:rFonts w:eastAsia="Calibri"/>
          <w:bCs/>
          <w:sz w:val="28"/>
          <w:szCs w:val="28"/>
        </w:rPr>
      </w:pPr>
      <w:r w:rsidRPr="00E91D5F">
        <w:rPr>
          <w:rFonts w:eastAsia="Calibri"/>
          <w:bCs/>
          <w:sz w:val="28"/>
          <w:szCs w:val="28"/>
        </w:rPr>
        <w:t>Т</w:t>
      </w:r>
      <w:r w:rsidRPr="00E91D5F">
        <w:rPr>
          <w:rFonts w:eastAsia="Calibri"/>
          <w:sz w:val="28"/>
          <w:szCs w:val="28"/>
        </w:rPr>
        <w:t xml:space="preserve">актика дій працівників поліції, </w:t>
      </w:r>
      <w:r w:rsidRPr="00E91D5F">
        <w:rPr>
          <w:rFonts w:eastAsia="Calibri"/>
          <w:bCs/>
          <w:sz w:val="28"/>
          <w:szCs w:val="28"/>
        </w:rPr>
        <w:t>коли в ході перевірки стає зрозумілим, що зупинено транспортний</w:t>
      </w:r>
      <w:r w:rsidRPr="00E91D5F">
        <w:rPr>
          <w:rFonts w:eastAsia="Calibri"/>
          <w:bCs/>
          <w:sz w:val="28"/>
          <w:szCs w:val="28"/>
          <w:vertAlign w:val="superscript"/>
        </w:rPr>
        <w:t xml:space="preserve"> </w:t>
      </w:r>
      <w:r w:rsidRPr="00E91D5F">
        <w:rPr>
          <w:rFonts w:eastAsia="Calibri"/>
          <w:bCs/>
          <w:sz w:val="28"/>
          <w:szCs w:val="28"/>
        </w:rPr>
        <w:t>засіб, що розшукується</w:t>
      </w:r>
      <w:r w:rsidRPr="00E91D5F">
        <w:rPr>
          <w:rFonts w:eastAsia="Calibri"/>
          <w:sz w:val="28"/>
          <w:szCs w:val="28"/>
        </w:rPr>
        <w:t>.</w:t>
      </w:r>
    </w:p>
    <w:p w:rsidR="00E91D5F" w:rsidRPr="00E91D5F" w:rsidRDefault="00E91D5F" w:rsidP="009D7165">
      <w:pPr>
        <w:pStyle w:val="a5"/>
        <w:numPr>
          <w:ilvl w:val="0"/>
          <w:numId w:val="1"/>
        </w:numPr>
        <w:spacing w:before="0" w:beforeAutospacing="0" w:after="0" w:afterAutospacing="0"/>
        <w:ind w:left="0" w:firstLine="709"/>
        <w:jc w:val="both"/>
        <w:rPr>
          <w:bCs/>
          <w:iCs/>
          <w:color w:val="000000"/>
          <w:sz w:val="28"/>
          <w:szCs w:val="28"/>
        </w:rPr>
      </w:pPr>
      <w:r w:rsidRPr="00E91D5F">
        <w:rPr>
          <w:bCs/>
          <w:iCs/>
          <w:color w:val="000000"/>
          <w:sz w:val="28"/>
          <w:szCs w:val="28"/>
        </w:rPr>
        <w:t>Особливі умови діяльності поліції.</w:t>
      </w:r>
    </w:p>
    <w:p w:rsidR="00E91D5F" w:rsidRPr="00E91D5F" w:rsidRDefault="00E91D5F" w:rsidP="009D7165">
      <w:pPr>
        <w:pStyle w:val="a5"/>
        <w:numPr>
          <w:ilvl w:val="0"/>
          <w:numId w:val="1"/>
        </w:numPr>
        <w:spacing w:before="0" w:beforeAutospacing="0" w:after="0" w:afterAutospacing="0"/>
        <w:ind w:left="0" w:firstLine="709"/>
        <w:jc w:val="both"/>
        <w:rPr>
          <w:bCs/>
          <w:iCs/>
          <w:color w:val="000000"/>
          <w:sz w:val="28"/>
          <w:szCs w:val="28"/>
        </w:rPr>
      </w:pPr>
      <w:r w:rsidRPr="00E91D5F">
        <w:rPr>
          <w:bCs/>
          <w:iCs/>
          <w:color w:val="000000"/>
          <w:sz w:val="28"/>
          <w:szCs w:val="28"/>
        </w:rPr>
        <w:t>Види небезпеки реальної дії на поведінку працівника.</w:t>
      </w:r>
    </w:p>
    <w:p w:rsidR="00E91D5F" w:rsidRPr="00E91D5F" w:rsidRDefault="00E91D5F" w:rsidP="009D7165">
      <w:pPr>
        <w:pStyle w:val="a5"/>
        <w:numPr>
          <w:ilvl w:val="0"/>
          <w:numId w:val="1"/>
        </w:numPr>
        <w:tabs>
          <w:tab w:val="left" w:pos="709"/>
          <w:tab w:val="left" w:pos="851"/>
        </w:tabs>
        <w:spacing w:before="0" w:beforeAutospacing="0" w:after="0" w:afterAutospacing="0"/>
        <w:ind w:left="0" w:firstLine="709"/>
        <w:jc w:val="both"/>
        <w:rPr>
          <w:sz w:val="28"/>
          <w:szCs w:val="28"/>
        </w:rPr>
      </w:pPr>
      <w:r w:rsidRPr="00E91D5F">
        <w:rPr>
          <w:sz w:val="28"/>
          <w:szCs w:val="28"/>
        </w:rPr>
        <w:t>Організація затримання в громадському транспорті.</w:t>
      </w:r>
    </w:p>
    <w:p w:rsidR="00E91D5F" w:rsidRPr="00E91D5F" w:rsidRDefault="00E91D5F" w:rsidP="009D7165">
      <w:pPr>
        <w:pStyle w:val="a5"/>
        <w:numPr>
          <w:ilvl w:val="0"/>
          <w:numId w:val="1"/>
        </w:numPr>
        <w:tabs>
          <w:tab w:val="left" w:pos="709"/>
        </w:tabs>
        <w:spacing w:before="0" w:beforeAutospacing="0" w:after="0" w:afterAutospacing="0"/>
        <w:ind w:left="0" w:firstLine="709"/>
        <w:jc w:val="both"/>
        <w:rPr>
          <w:sz w:val="28"/>
          <w:szCs w:val="28"/>
        </w:rPr>
      </w:pPr>
      <w:r w:rsidRPr="00E91D5F">
        <w:rPr>
          <w:sz w:val="28"/>
          <w:szCs w:val="28"/>
        </w:rPr>
        <w:t>Чинники, що негативно впливають на затримання кримінального правопорушника в громадських місцях.</w:t>
      </w:r>
    </w:p>
    <w:p w:rsidR="00E91D5F" w:rsidRPr="00E91D5F" w:rsidRDefault="00E91D5F" w:rsidP="009D7165">
      <w:pPr>
        <w:pStyle w:val="a5"/>
        <w:numPr>
          <w:ilvl w:val="0"/>
          <w:numId w:val="1"/>
        </w:numPr>
        <w:tabs>
          <w:tab w:val="left" w:pos="709"/>
          <w:tab w:val="left" w:pos="851"/>
        </w:tabs>
        <w:spacing w:before="0" w:beforeAutospacing="0" w:after="0" w:afterAutospacing="0"/>
        <w:ind w:left="0" w:firstLine="709"/>
        <w:jc w:val="both"/>
        <w:rPr>
          <w:sz w:val="28"/>
          <w:szCs w:val="28"/>
        </w:rPr>
      </w:pPr>
      <w:r w:rsidRPr="00E91D5F">
        <w:rPr>
          <w:sz w:val="28"/>
          <w:szCs w:val="28"/>
        </w:rPr>
        <w:t>Мета спостереження за кримінальним правопорушником в громадському місці.</w:t>
      </w:r>
    </w:p>
    <w:p w:rsidR="00E91D5F" w:rsidRPr="00E91D5F" w:rsidRDefault="00E91D5F" w:rsidP="009D7165">
      <w:pPr>
        <w:numPr>
          <w:ilvl w:val="0"/>
          <w:numId w:val="1"/>
        </w:numPr>
        <w:spacing w:after="0" w:line="240" w:lineRule="auto"/>
        <w:ind w:left="0" w:firstLine="709"/>
        <w:jc w:val="both"/>
        <w:rPr>
          <w:rFonts w:ascii="Times New Roman" w:hAnsi="Times New Roman"/>
          <w:sz w:val="28"/>
          <w:szCs w:val="28"/>
        </w:rPr>
      </w:pPr>
      <w:r w:rsidRPr="00E91D5F">
        <w:rPr>
          <w:rFonts w:ascii="Times New Roman" w:hAnsi="Times New Roman"/>
          <w:sz w:val="28"/>
          <w:szCs w:val="28"/>
        </w:rPr>
        <w:t>Види кримінального аналізу.</w:t>
      </w:r>
    </w:p>
    <w:p w:rsidR="00E91D5F" w:rsidRPr="00E91D5F" w:rsidRDefault="00E91D5F" w:rsidP="009D7165">
      <w:pPr>
        <w:numPr>
          <w:ilvl w:val="0"/>
          <w:numId w:val="1"/>
        </w:numPr>
        <w:spacing w:after="0" w:line="240" w:lineRule="auto"/>
        <w:ind w:left="0" w:firstLine="709"/>
        <w:jc w:val="both"/>
        <w:rPr>
          <w:rFonts w:ascii="Times New Roman" w:hAnsi="Times New Roman"/>
          <w:sz w:val="28"/>
          <w:szCs w:val="28"/>
        </w:rPr>
      </w:pPr>
      <w:r w:rsidRPr="00E91D5F">
        <w:rPr>
          <w:rFonts w:ascii="Times New Roman" w:hAnsi="Times New Roman"/>
          <w:sz w:val="28"/>
          <w:szCs w:val="28"/>
        </w:rPr>
        <w:t>Схеми, які використовуються у кримінальному аналізі.</w:t>
      </w:r>
    </w:p>
    <w:p w:rsidR="00E91D5F" w:rsidRPr="00E91D5F" w:rsidRDefault="00E91D5F" w:rsidP="009D7165">
      <w:pPr>
        <w:numPr>
          <w:ilvl w:val="0"/>
          <w:numId w:val="1"/>
        </w:numPr>
        <w:spacing w:after="0" w:line="240" w:lineRule="auto"/>
        <w:ind w:left="0" w:firstLine="709"/>
        <w:jc w:val="both"/>
        <w:rPr>
          <w:rFonts w:ascii="Times New Roman" w:hAnsi="Times New Roman"/>
          <w:sz w:val="28"/>
          <w:szCs w:val="28"/>
        </w:rPr>
      </w:pPr>
      <w:r w:rsidRPr="00E91D5F">
        <w:rPr>
          <w:rFonts w:ascii="Times New Roman" w:hAnsi="Times New Roman"/>
          <w:sz w:val="28"/>
          <w:szCs w:val="28"/>
        </w:rPr>
        <w:t>Схема подій.</w:t>
      </w:r>
    </w:p>
    <w:p w:rsidR="00E91D5F" w:rsidRPr="00E91D5F" w:rsidRDefault="00E91D5F" w:rsidP="009D7165">
      <w:pPr>
        <w:numPr>
          <w:ilvl w:val="0"/>
          <w:numId w:val="1"/>
        </w:numPr>
        <w:spacing w:after="0" w:line="240" w:lineRule="auto"/>
        <w:ind w:left="0" w:firstLine="709"/>
        <w:jc w:val="both"/>
        <w:rPr>
          <w:rFonts w:ascii="Times New Roman" w:hAnsi="Times New Roman"/>
          <w:sz w:val="28"/>
          <w:szCs w:val="28"/>
        </w:rPr>
      </w:pPr>
      <w:r w:rsidRPr="00E91D5F">
        <w:rPr>
          <w:rFonts w:ascii="Times New Roman" w:hAnsi="Times New Roman"/>
          <w:sz w:val="28"/>
          <w:szCs w:val="28"/>
        </w:rPr>
        <w:t>Аналіз телефонних дзвінків.</w:t>
      </w:r>
    </w:p>
    <w:p w:rsidR="00E91D5F" w:rsidRPr="00E91D5F" w:rsidRDefault="00E91D5F" w:rsidP="009D7165">
      <w:pPr>
        <w:numPr>
          <w:ilvl w:val="0"/>
          <w:numId w:val="1"/>
        </w:numPr>
        <w:spacing w:after="0" w:line="240" w:lineRule="auto"/>
        <w:ind w:left="0" w:firstLine="709"/>
        <w:jc w:val="both"/>
        <w:rPr>
          <w:rFonts w:ascii="Times New Roman" w:hAnsi="Times New Roman"/>
          <w:sz w:val="28"/>
          <w:szCs w:val="28"/>
        </w:rPr>
      </w:pPr>
      <w:r w:rsidRPr="00E91D5F">
        <w:rPr>
          <w:rFonts w:ascii="Times New Roman" w:hAnsi="Times New Roman"/>
          <w:sz w:val="28"/>
          <w:szCs w:val="28"/>
        </w:rPr>
        <w:t xml:space="preserve">Особливості складання схеми </w:t>
      </w:r>
      <w:proofErr w:type="spellStart"/>
      <w:r w:rsidRPr="00E91D5F">
        <w:rPr>
          <w:rFonts w:ascii="Times New Roman" w:hAnsi="Times New Roman"/>
          <w:sz w:val="28"/>
          <w:szCs w:val="28"/>
        </w:rPr>
        <w:t>зв’язків</w:t>
      </w:r>
      <w:proofErr w:type="spellEnd"/>
      <w:r w:rsidRPr="00E91D5F">
        <w:rPr>
          <w:rFonts w:ascii="Times New Roman" w:hAnsi="Times New Roman"/>
          <w:sz w:val="28"/>
          <w:szCs w:val="28"/>
        </w:rPr>
        <w:t>.</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Цілі ділового спілкування в діяльності працівників поліції.</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Комунікативні умови спілкування.</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Засоби протидії маніпуляції.</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Основні види стресу та форми його прояву.</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Поняття дистресу.</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Посттравматичний стресовий розлад.</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Хронічний стрес в роботі працівників поліції.</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 xml:space="preserve">Прояви ксенофобії: расизм, антисемітизм, </w:t>
      </w:r>
      <w:proofErr w:type="spellStart"/>
      <w:r w:rsidRPr="00E91D5F">
        <w:rPr>
          <w:sz w:val="28"/>
          <w:szCs w:val="28"/>
        </w:rPr>
        <w:t>ісламофобія</w:t>
      </w:r>
      <w:proofErr w:type="spellEnd"/>
      <w:r w:rsidRPr="00E91D5F">
        <w:rPr>
          <w:sz w:val="28"/>
          <w:szCs w:val="28"/>
        </w:rPr>
        <w:t xml:space="preserve"> та </w:t>
      </w:r>
      <w:proofErr w:type="spellStart"/>
      <w:r w:rsidRPr="00E91D5F">
        <w:rPr>
          <w:sz w:val="28"/>
          <w:szCs w:val="28"/>
        </w:rPr>
        <w:t>гомофобія</w:t>
      </w:r>
      <w:proofErr w:type="spellEnd"/>
      <w:r>
        <w:rPr>
          <w:sz w:val="28"/>
          <w:szCs w:val="28"/>
        </w:rPr>
        <w:t>.</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Поняття стереотипу.</w:t>
      </w:r>
    </w:p>
    <w:p w:rsidR="00E91D5F" w:rsidRPr="00E91D5F" w:rsidRDefault="00E91D5F" w:rsidP="009D7165">
      <w:pPr>
        <w:pStyle w:val="a5"/>
        <w:numPr>
          <w:ilvl w:val="0"/>
          <w:numId w:val="1"/>
        </w:numPr>
        <w:spacing w:before="0" w:beforeAutospacing="0" w:after="0" w:afterAutospacing="0"/>
        <w:ind w:left="0" w:firstLine="709"/>
        <w:jc w:val="both"/>
        <w:rPr>
          <w:sz w:val="28"/>
          <w:szCs w:val="28"/>
        </w:rPr>
      </w:pPr>
      <w:r w:rsidRPr="00E91D5F">
        <w:rPr>
          <w:sz w:val="28"/>
          <w:szCs w:val="28"/>
        </w:rPr>
        <w:t>Психологічний портрет особи, яка становить оперативний інтерес.</w:t>
      </w:r>
    </w:p>
    <w:p w:rsidR="002B3677" w:rsidRDefault="009D7165" w:rsidP="009D7165">
      <w:pPr>
        <w:spacing w:after="0" w:line="240" w:lineRule="auto"/>
        <w:rPr>
          <w:rFonts w:ascii="Times New Roman" w:hAnsi="Times New Roman"/>
          <w:sz w:val="28"/>
          <w:szCs w:val="28"/>
        </w:rPr>
      </w:pPr>
      <w:bookmarkStart w:id="0" w:name="_GoBack"/>
      <w:bookmarkEnd w:id="0"/>
    </w:p>
    <w:sectPr w:rsidR="002B3677" w:rsidSect="00EE2590">
      <w:pgSz w:w="11906" w:h="16838"/>
      <w:pgMar w:top="1134" w:right="707"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13430"/>
    <w:multiLevelType w:val="hybridMultilevel"/>
    <w:tmpl w:val="C570CF98"/>
    <w:lvl w:ilvl="0" w:tplc="E4F29DFA">
      <w:start w:val="1"/>
      <w:numFmt w:val="decimal"/>
      <w:lvlText w:val="%1."/>
      <w:lvlJc w:val="left"/>
      <w:pPr>
        <w:ind w:left="720" w:hanging="360"/>
      </w:pPr>
      <w:rPr>
        <w:rFonts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A70"/>
    <w:rsid w:val="000A70CA"/>
    <w:rsid w:val="00130891"/>
    <w:rsid w:val="00274809"/>
    <w:rsid w:val="00276855"/>
    <w:rsid w:val="00331321"/>
    <w:rsid w:val="005D5A70"/>
    <w:rsid w:val="005E4229"/>
    <w:rsid w:val="0078303B"/>
    <w:rsid w:val="007A13DB"/>
    <w:rsid w:val="008216DF"/>
    <w:rsid w:val="009D7165"/>
    <w:rsid w:val="00A24CF1"/>
    <w:rsid w:val="00D63086"/>
    <w:rsid w:val="00DF08B5"/>
    <w:rsid w:val="00E668B4"/>
    <w:rsid w:val="00E91D5F"/>
    <w:rsid w:val="00EE25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77C06C-4DC9-45B1-9228-A8D4B157E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1321"/>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sid w:val="007A13DB"/>
    <w:pPr>
      <w:spacing w:after="0" w:line="240" w:lineRule="auto"/>
      <w:jc w:val="center"/>
    </w:pPr>
    <w:rPr>
      <w:rFonts w:ascii="Times New Roman" w:eastAsia="Times New Roman" w:hAnsi="Times New Roman"/>
      <w:b/>
      <w:sz w:val="28"/>
      <w:szCs w:val="20"/>
      <w:lang w:eastAsia="ru-RU"/>
    </w:rPr>
  </w:style>
  <w:style w:type="character" w:customStyle="1" w:styleId="a4">
    <w:name w:val="Основной текст Знак"/>
    <w:basedOn w:val="a0"/>
    <w:link w:val="a3"/>
    <w:uiPriority w:val="99"/>
    <w:semiHidden/>
    <w:rsid w:val="007A13DB"/>
    <w:rPr>
      <w:rFonts w:ascii="Times New Roman" w:eastAsia="Times New Roman" w:hAnsi="Times New Roman" w:cs="Times New Roman"/>
      <w:b/>
      <w:sz w:val="28"/>
      <w:szCs w:val="20"/>
      <w:lang w:val="uk-UA" w:eastAsia="ru-RU"/>
    </w:rPr>
  </w:style>
  <w:style w:type="paragraph" w:styleId="a5">
    <w:name w:val="Normal (Web)"/>
    <w:aliases w:val="Обычный (Web),Обычный (веб) Знак,Знак1 Знак Знак,Знак1 Знак Знак Знак Знак Знак Знак Знак,Знак1,Знак1 Знак Знак Знак,Обычный (веб) Знак2,Обычный (веб) Знак1 Знак,Обычный (веб) Знак Знак Знак,Знак1 Знак1 Знак Знак Знак,Знак1 Знак"/>
    <w:basedOn w:val="a"/>
    <w:link w:val="1"/>
    <w:uiPriority w:val="99"/>
    <w:qFormat/>
    <w:rsid w:val="00E91D5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
    <w:name w:val="Обычный (веб) Знак1"/>
    <w:aliases w:val="Обычный (Web) Знак,Обычный (веб) Знак Знак,Знак1 Знак Знак Знак1,Знак1 Знак Знак Знак Знак Знак Знак Знак Знак,Знак1 Знак1,Знак1 Знак Знак Знак Знак,Обычный (веб) Знак2 Знак,Обычный (веб) Знак1 Знак Знак,Знак1 Знак Знак1"/>
    <w:link w:val="a5"/>
    <w:uiPriority w:val="99"/>
    <w:locked/>
    <w:rsid w:val="00E91D5F"/>
    <w:rPr>
      <w:rFonts w:ascii="Times New Roman" w:eastAsia="Times New Roman" w:hAnsi="Times New Roman" w:cs="Times New Roman"/>
      <w:sz w:val="24"/>
      <w:szCs w:val="24"/>
      <w:lang w:val="uk-UA" w:eastAsia="ru-RU"/>
    </w:rPr>
  </w:style>
  <w:style w:type="character" w:customStyle="1" w:styleId="4">
    <w:name w:val="Основной текст (4)_"/>
    <w:link w:val="40"/>
    <w:rsid w:val="00E91D5F"/>
    <w:rPr>
      <w:rFonts w:ascii="Times New Roman" w:eastAsia="Times New Roman" w:hAnsi="Times New Roman" w:cs="Times New Roman"/>
      <w:b/>
      <w:bCs/>
      <w:sz w:val="32"/>
      <w:szCs w:val="32"/>
      <w:shd w:val="clear" w:color="auto" w:fill="FFFFFF"/>
    </w:rPr>
  </w:style>
  <w:style w:type="paragraph" w:customStyle="1" w:styleId="40">
    <w:name w:val="Основной текст (4)"/>
    <w:basedOn w:val="a"/>
    <w:link w:val="4"/>
    <w:rsid w:val="00E91D5F"/>
    <w:pPr>
      <w:widowControl w:val="0"/>
      <w:shd w:val="clear" w:color="auto" w:fill="FFFFFF"/>
      <w:spacing w:before="3060" w:after="0" w:line="422" w:lineRule="exact"/>
      <w:jc w:val="center"/>
    </w:pPr>
    <w:rPr>
      <w:rFonts w:ascii="Times New Roman" w:eastAsia="Times New Roman" w:hAnsi="Times New Roman"/>
      <w:b/>
      <w:bCs/>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1892</Words>
  <Characters>10791</Characters>
  <Application>Microsoft Office Word</Application>
  <DocSecurity>0</DocSecurity>
  <Lines>89</Lines>
  <Paragraphs>25</Paragraphs>
  <ScaleCrop>false</ScaleCrop>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Сергей</cp:lastModifiedBy>
  <cp:revision>16</cp:revision>
  <dcterms:created xsi:type="dcterms:W3CDTF">2017-11-13T11:57:00Z</dcterms:created>
  <dcterms:modified xsi:type="dcterms:W3CDTF">2018-04-04T11:54:00Z</dcterms:modified>
</cp:coreProperties>
</file>