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076" w:rsidRPr="00385574" w:rsidRDefault="001F3076" w:rsidP="001F3076">
      <w:pPr>
        <w:ind w:firstLine="0"/>
        <w:jc w:val="center"/>
        <w:rPr>
          <w:b/>
          <w:spacing w:val="-4"/>
          <w:szCs w:val="28"/>
          <w:lang w:val="uk-UA"/>
        </w:rPr>
      </w:pPr>
      <w:r w:rsidRPr="00385574">
        <w:rPr>
          <w:b/>
          <w:spacing w:val="-4"/>
          <w:szCs w:val="28"/>
          <w:lang w:val="uk-UA"/>
        </w:rPr>
        <w:t>ПЕРЕЛІК ПИТАНЬ ДО КОМПЛЕКСНОГО ПІДСУМКОВОГО ЕКЗАМЕНУ</w:t>
      </w:r>
    </w:p>
    <w:p w:rsidR="001F3076" w:rsidRPr="00385574" w:rsidRDefault="001F3076" w:rsidP="001F3076">
      <w:pPr>
        <w:pStyle w:val="Style4"/>
        <w:spacing w:line="240" w:lineRule="auto"/>
        <w:ind w:firstLine="0"/>
        <w:jc w:val="center"/>
        <w:rPr>
          <w:b/>
          <w:bCs/>
          <w:sz w:val="28"/>
          <w:szCs w:val="28"/>
          <w:lang w:val="uk-UA"/>
        </w:rPr>
      </w:pPr>
      <w:r w:rsidRPr="00385574">
        <w:rPr>
          <w:b/>
          <w:sz w:val="28"/>
          <w:szCs w:val="28"/>
          <w:lang w:val="uk-UA"/>
        </w:rPr>
        <w:t xml:space="preserve">з підвищення кваліфікації </w:t>
      </w:r>
      <w:r w:rsidRPr="00385574">
        <w:rPr>
          <w:b/>
          <w:bCs/>
          <w:sz w:val="28"/>
          <w:szCs w:val="28"/>
          <w:lang w:val="uk-UA"/>
        </w:rPr>
        <w:t>аварійних комісарів</w:t>
      </w:r>
    </w:p>
    <w:p w:rsidR="001F3076" w:rsidRPr="00385574" w:rsidRDefault="001F3076" w:rsidP="001F3076">
      <w:pPr>
        <w:pStyle w:val="Style4"/>
        <w:spacing w:line="240" w:lineRule="auto"/>
        <w:ind w:firstLine="0"/>
        <w:jc w:val="center"/>
        <w:rPr>
          <w:highlight w:val="yellow"/>
          <w:lang w:val="uk-UA"/>
        </w:rPr>
      </w:pP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Поняття аварійного комісара та його правовий статус.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Кваліфікаційні вимоги до осіб, які здійснюють діяльність з визначення причин настання страхового випадку та розміру збитків.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Періодичність та порядок проходження аварійним комісаром навчання на відповідність знань кваліфікаційному мінімуму за певним напрямом діяльності.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Визначення поняття страхових брокерів та їх відмінність від аварійних комісарів.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Підстави проведення діяльності аварійного комісара щодо з'ясування обставин і причин настання страхового випадку та визначення розміру збитків.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Визначення поняття страховика.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Права аварійного комісара відповідно до договору із страховиком.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Форми і методи виконання зобов'язань аварійного комісара перед страховиком.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Порядок ознайомлення з матеріалами досудового розслідування.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Порядок отримання дозволу на присутність аварійного комісара під час проведення слідчих дій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Порядок направлення запитів та отримання інформації про обставини і причини настання страхового випадку та заподіяну шкоду .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Обов’язки</w:t>
      </w:r>
      <w:r w:rsidRPr="00987F24">
        <w:rPr>
          <w:lang w:val="uk-UA"/>
        </w:rPr>
        <w:t xml:space="preserve"> аварійного комісара відповідно до договору із страховиком.</w:t>
      </w:r>
    </w:p>
    <w:p w:rsidR="001F3076" w:rsidRPr="00987F2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987F24">
        <w:rPr>
          <w:lang w:val="uk-UA"/>
        </w:rPr>
        <w:t>Порядок надання аварійним комісаром інформації про обставини і причини настання страхового випадку та заподіяну шкоду.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Обмеження прав аварійного комісара щодо з'ясовування обставини і причини настання страхового випадку та визначення розміру збитків.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Підстави для з'ясування аварійним комісаром обставин і причин настання страхового випадку та визначення розміру збитків.</w:t>
      </w:r>
    </w:p>
    <w:p w:rsidR="001F3076" w:rsidRPr="008142CB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8142CB">
        <w:rPr>
          <w:lang w:val="uk-UA"/>
        </w:rPr>
        <w:t xml:space="preserve">Обставини, які в обов'язковому порядку зазначаються у заяві страхувальника про настання страхового випадку. </w:t>
      </w:r>
    </w:p>
    <w:p w:rsidR="001F3076" w:rsidRPr="008142CB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8142CB">
        <w:rPr>
          <w:lang w:val="uk-UA"/>
        </w:rPr>
        <w:t>Порядок оформлення аварійного сертифікату.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Розмежуйте поняття страхувальників та страховиків.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поняття особи, відповідальність якої застрахована.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поняття забезпеченого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поняття наземного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поняття «бонус-</w:t>
      </w:r>
      <w:proofErr w:type="spellStart"/>
      <w:r w:rsidRPr="00385574">
        <w:rPr>
          <w:lang w:val="uk-UA"/>
        </w:rPr>
        <w:t>малус</w:t>
      </w:r>
      <w:proofErr w:type="spellEnd"/>
      <w:r w:rsidRPr="00385574">
        <w:rPr>
          <w:lang w:val="uk-UA"/>
        </w:rPr>
        <w:t>» та факторів, які на нього впливають.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Розмежу</w:t>
      </w:r>
      <w:r>
        <w:rPr>
          <w:lang w:val="uk-UA"/>
        </w:rPr>
        <w:t>вання</w:t>
      </w:r>
      <w:r w:rsidRPr="00385574">
        <w:rPr>
          <w:lang w:val="uk-UA"/>
        </w:rPr>
        <w:t xml:space="preserve"> поняття страховий поліс та страховий сертифікат.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поняття «дорожньо-транспортна пригода».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lastRenderedPageBreak/>
        <w:t>Правове регулювання відносин у сфері обов'язкового страхування цивільно-правової відповідальності власників наземних транспортних засобів.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>
        <w:rPr>
          <w:lang w:val="uk-UA"/>
        </w:rPr>
        <w:t>В</w:t>
      </w:r>
      <w:r w:rsidRPr="00385574">
        <w:rPr>
          <w:lang w:val="uk-UA"/>
        </w:rPr>
        <w:t>изначення страхового випадку.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Порядок визначення розміру страхового платежу.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385574">
        <w:rPr>
          <w:lang w:val="uk-UA"/>
        </w:rPr>
        <w:t>Особливості страхування цивільно-правової відповідальності окремих категорій громадян України.</w:t>
      </w:r>
    </w:p>
    <w:p w:rsidR="001F3076" w:rsidRPr="008142CB" w:rsidRDefault="001F3076" w:rsidP="001F3076">
      <w:pPr>
        <w:numPr>
          <w:ilvl w:val="0"/>
          <w:numId w:val="3"/>
        </w:numPr>
        <w:ind w:left="0" w:firstLine="709"/>
        <w:rPr>
          <w:lang w:val="uk-UA"/>
        </w:rPr>
      </w:pPr>
      <w:r w:rsidRPr="008142CB">
        <w:rPr>
          <w:lang w:val="uk-UA"/>
        </w:rPr>
        <w:t>Поняття</w:t>
      </w:r>
      <w:r>
        <w:rPr>
          <w:lang w:val="uk-UA"/>
        </w:rPr>
        <w:t>, статус</w:t>
      </w:r>
      <w:r w:rsidRPr="008142CB">
        <w:rPr>
          <w:lang w:val="uk-UA"/>
        </w:rPr>
        <w:t xml:space="preserve"> та завдання Моторного (транспортного) страхового бюро України. </w:t>
      </w:r>
    </w:p>
    <w:p w:rsidR="001F3076" w:rsidRPr="00385574" w:rsidRDefault="001F3076" w:rsidP="001F3076">
      <w:pPr>
        <w:pStyle w:val="Style4"/>
        <w:numPr>
          <w:ilvl w:val="0"/>
          <w:numId w:val="3"/>
        </w:numPr>
        <w:spacing w:line="240" w:lineRule="auto"/>
        <w:ind w:left="0" w:firstLine="709"/>
        <w:rPr>
          <w:rFonts w:eastAsia="Calibri"/>
          <w:sz w:val="28"/>
          <w:szCs w:val="20"/>
          <w:lang w:val="uk-UA"/>
        </w:rPr>
      </w:pPr>
      <w:r w:rsidRPr="00385574">
        <w:rPr>
          <w:rFonts w:eastAsia="Calibri"/>
          <w:sz w:val="28"/>
          <w:szCs w:val="20"/>
          <w:lang w:val="uk-UA"/>
        </w:rPr>
        <w:t>Строки та порядок направлення аварійного комісара на місце настання страхового випадку та/або до місцезнаходження пошкодженого майна для визначення причин настання страхового випадку та розміру збитків.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Поняття та види договорів за цивільним законодавством України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Договірні засади матеріальної відповідальності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Договірні засади колективної (бригадної) матеріальної відповідальності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Форма договору та її особливості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Договірні </w:t>
      </w:r>
      <w:r w:rsidRPr="00385574">
        <w:rPr>
          <w:szCs w:val="28"/>
          <w:lang w:val="uk-UA"/>
        </w:rPr>
        <w:t>зобов’язання</w:t>
      </w:r>
      <w:r w:rsidRPr="00385574">
        <w:rPr>
          <w:szCs w:val="28"/>
          <w:lang w:val="uk-UA"/>
        </w:rPr>
        <w:t xml:space="preserve"> у діяльності експертної служби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shd w:val="clear" w:color="auto" w:fill="FFFFFF"/>
          <w:lang w:val="uk-UA"/>
        </w:rPr>
        <w:t>Особливості укладанням договорів оренди, комунальних послуг, енергоносіїв у діяльності експертної служби</w:t>
      </w:r>
      <w:r>
        <w:rPr>
          <w:szCs w:val="28"/>
          <w:shd w:val="clear" w:color="auto" w:fill="FFFFFF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Договори про надання послуг</w:t>
      </w:r>
      <w:r w:rsidRPr="00385574">
        <w:rPr>
          <w:szCs w:val="28"/>
          <w:shd w:val="clear" w:color="auto" w:fill="FFFFFF"/>
          <w:lang w:val="uk-UA"/>
        </w:rPr>
        <w:t xml:space="preserve"> у діяльності експертної служби</w:t>
      </w:r>
      <w:r>
        <w:rPr>
          <w:szCs w:val="28"/>
          <w:shd w:val="clear" w:color="auto" w:fill="FFFFFF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shd w:val="clear" w:color="auto" w:fill="FFFFFF"/>
          <w:lang w:val="uk-UA"/>
        </w:rPr>
        <w:t>Підрядні</w:t>
      </w:r>
      <w:r w:rsidRPr="00385574">
        <w:rPr>
          <w:szCs w:val="28"/>
          <w:lang w:val="uk-UA"/>
        </w:rPr>
        <w:t xml:space="preserve"> </w:t>
      </w:r>
      <w:r w:rsidRPr="00385574">
        <w:rPr>
          <w:szCs w:val="28"/>
          <w:lang w:val="uk-UA"/>
        </w:rPr>
        <w:t>зобов’язання</w:t>
      </w:r>
      <w:r w:rsidRPr="00385574">
        <w:rPr>
          <w:szCs w:val="28"/>
          <w:lang w:val="uk-UA"/>
        </w:rPr>
        <w:t xml:space="preserve"> у діяльності експертної служби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Договори, </w:t>
      </w:r>
      <w:r w:rsidRPr="00385574">
        <w:rPr>
          <w:szCs w:val="28"/>
          <w:lang w:val="uk-UA"/>
        </w:rPr>
        <w:t>пов’язані</w:t>
      </w:r>
      <w:r w:rsidRPr="00385574">
        <w:rPr>
          <w:szCs w:val="28"/>
          <w:lang w:val="uk-UA"/>
        </w:rPr>
        <w:t xml:space="preserve"> із працевлаштуванням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Колективні договори: поняття та особливості укладання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>Основні причини зіткнень.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 xml:space="preserve">Визначення швидкості </w:t>
      </w:r>
      <w:r>
        <w:rPr>
          <w:iCs/>
          <w:szCs w:val="28"/>
          <w:lang w:val="uk-UA"/>
        </w:rPr>
        <w:t>транспортних засобів</w:t>
      </w:r>
      <w:r w:rsidRPr="00385574">
        <w:rPr>
          <w:iCs/>
          <w:szCs w:val="28"/>
          <w:lang w:val="uk-UA"/>
        </w:rPr>
        <w:t xml:space="preserve"> перед гальмуванням по довжині гальмівного сліду.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szCs w:val="28"/>
          <w:lang w:val="uk-UA"/>
        </w:rPr>
        <w:t>Момент виникнення небезпеки для руху</w:t>
      </w:r>
      <w:r w:rsidRPr="00385574">
        <w:rPr>
          <w:snapToGrid w:val="0"/>
          <w:szCs w:val="28"/>
          <w:lang w:val="uk-UA"/>
        </w:rPr>
        <w:t>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>Можливі способи запобігання зустрічному зіткненню.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>Визначення безпечних дистанцій та інтервалів при обгоні, об’їзді.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snapToGrid w:val="0"/>
          <w:szCs w:val="28"/>
          <w:lang w:val="uk-UA"/>
        </w:rPr>
        <w:t>Гальмівний шлях, шлях гальмування, зупиночний шлях.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pacing w:val="-6"/>
          <w:szCs w:val="28"/>
          <w:lang w:val="uk-UA"/>
        </w:rPr>
      </w:pPr>
      <w:r w:rsidRPr="00385574">
        <w:rPr>
          <w:spacing w:val="-6"/>
          <w:szCs w:val="28"/>
          <w:lang w:val="uk-UA"/>
        </w:rPr>
        <w:t>Основні системи транспортних засобів, які впливають на безпеку руху.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>Характерні несправності гальмової системи транспортного засобу з гідравлічним приводом (перелічити) та причини їх виникнення (на прикладі однієї з них).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szCs w:val="28"/>
          <w:lang w:val="uk-UA"/>
        </w:rPr>
        <w:t>Класифікація несправностей (пошкоджень) за часом їх виникнення.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proofErr w:type="spellStart"/>
      <w:r w:rsidRPr="00385574">
        <w:rPr>
          <w:color w:val="000000"/>
          <w:szCs w:val="28"/>
          <w:lang w:val="uk-UA"/>
        </w:rPr>
        <w:t>Слід</w:t>
      </w:r>
      <w:bookmarkStart w:id="0" w:name="_GoBack"/>
      <w:bookmarkEnd w:id="0"/>
      <w:r w:rsidRPr="00385574">
        <w:rPr>
          <w:color w:val="000000"/>
          <w:szCs w:val="28"/>
          <w:lang w:val="uk-UA"/>
        </w:rPr>
        <w:t>ова</w:t>
      </w:r>
      <w:proofErr w:type="spellEnd"/>
      <w:r w:rsidRPr="00385574">
        <w:rPr>
          <w:color w:val="000000"/>
          <w:szCs w:val="28"/>
          <w:lang w:val="uk-UA"/>
        </w:rPr>
        <w:t xml:space="preserve"> інформація на місці пригоди.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pacing w:val="-2"/>
          <w:szCs w:val="28"/>
          <w:lang w:val="uk-UA"/>
        </w:rPr>
      </w:pPr>
      <w:r w:rsidRPr="00385574">
        <w:rPr>
          <w:iCs/>
          <w:spacing w:val="-2"/>
          <w:szCs w:val="28"/>
          <w:lang w:val="uk-UA"/>
        </w:rPr>
        <w:t>Визначення напрямку руху транспортного засобами за слідами коліс.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szCs w:val="28"/>
          <w:lang w:val="uk-UA"/>
        </w:rPr>
        <w:t>Ознаки, які дають змогу з’ясувати взаємне розташування транспортного засобу і пішохода при наїзді.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after="160"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lastRenderedPageBreak/>
        <w:t>Визначення місця зіткнення за розташуванням об’єктів, що відокремилися від транспортних засобів.</w:t>
      </w:r>
    </w:p>
    <w:p w:rsidR="001F3076" w:rsidRPr="00385574" w:rsidRDefault="001F3076" w:rsidP="001F3076">
      <w:pPr>
        <w:pStyle w:val="a3"/>
        <w:numPr>
          <w:ilvl w:val="0"/>
          <w:numId w:val="3"/>
        </w:numPr>
        <w:spacing w:line="256" w:lineRule="auto"/>
        <w:ind w:left="0" w:firstLine="709"/>
        <w:rPr>
          <w:snapToGrid w:val="0"/>
          <w:szCs w:val="28"/>
          <w:lang w:val="uk-UA"/>
        </w:rPr>
      </w:pPr>
      <w:r w:rsidRPr="00385574">
        <w:rPr>
          <w:iCs/>
          <w:szCs w:val="28"/>
          <w:lang w:val="uk-UA"/>
        </w:rPr>
        <w:t xml:space="preserve">Визначення факту руху або нерухомого стану </w:t>
      </w:r>
      <w:r w:rsidRPr="00385574">
        <w:rPr>
          <w:iCs/>
          <w:spacing w:val="-2"/>
          <w:szCs w:val="28"/>
          <w:lang w:val="uk-UA"/>
        </w:rPr>
        <w:t>транспортного засоб</w:t>
      </w:r>
      <w:r>
        <w:rPr>
          <w:iCs/>
          <w:spacing w:val="-2"/>
          <w:szCs w:val="28"/>
          <w:lang w:val="uk-UA"/>
        </w:rPr>
        <w:t>у</w:t>
      </w:r>
      <w:r w:rsidRPr="00385574">
        <w:rPr>
          <w:iCs/>
          <w:szCs w:val="28"/>
          <w:lang w:val="uk-UA"/>
        </w:rPr>
        <w:t xml:space="preserve"> при зіткненнях. Загальні положення.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Ідентифікація і технічний огляд колісного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ринкової вартості колісних транспортних засобів.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ринкової вартості вантажних автомобілів та автобусів.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93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Визначення ринкової вартості причепів та </w:t>
      </w:r>
      <w:proofErr w:type="spellStart"/>
      <w:r w:rsidRPr="00385574">
        <w:rPr>
          <w:szCs w:val="28"/>
          <w:lang w:val="uk-UA"/>
        </w:rPr>
        <w:t>мототехніки</w:t>
      </w:r>
      <w:proofErr w:type="spellEnd"/>
      <w:r w:rsidRPr="00385574">
        <w:rPr>
          <w:szCs w:val="28"/>
          <w:lang w:val="uk-UA"/>
        </w:rPr>
        <w:t>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Підбір аналога колісного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ліквідаційної вартості колісного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вартості утилізації та технічно справних складників колісного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ринкової вартості колісного транспортного засобу з урахуванням умов догляду, зберігання та експлуатації.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ринкової вартості колісного транспортного засобу з урахуванням його комплектності, укомплектованості, пошкоджень, відновлення і оновлення складових.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коефіцієнту фізичного зносу для складників колісних транспортних засобів.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Визначення вартості колісного транспортного засобу та її складників, що ввозяться на митну територію України.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385574">
        <w:rPr>
          <w:szCs w:val="28"/>
          <w:lang w:val="uk-UA"/>
        </w:rPr>
        <w:t>имоги до визначення вартості матеріального збитку, завданого власнику колісного транспортного засобу із застосуванням витратного підходу.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визначення вартості відновлювального ремонту для колісних транспортних засобів, що ввозяться на митну територію України.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Класифікація та характеристика ремонтів і перекосів кузову.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визначення кількості та вартості матеріалів для пофарбування, антикорозійної і протишумової обробки кузова (кабіни) колісного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Ідентифікація і технічний огляд колісного транспортного засобу, як початковий етап дослідження. 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Pr="00385574">
        <w:rPr>
          <w:szCs w:val="28"/>
          <w:lang w:val="uk-UA"/>
        </w:rPr>
        <w:t>ередній перекіс кузова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385574">
        <w:rPr>
          <w:szCs w:val="28"/>
          <w:lang w:val="uk-UA"/>
        </w:rPr>
        <w:t>собливо складний перекіс кузова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widowControl w:val="0"/>
        <w:numPr>
          <w:ilvl w:val="0"/>
          <w:numId w:val="3"/>
        </w:numPr>
        <w:tabs>
          <w:tab w:val="left" w:pos="851"/>
          <w:tab w:val="left" w:pos="1418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385574">
        <w:rPr>
          <w:szCs w:val="28"/>
          <w:lang w:val="uk-UA"/>
        </w:rPr>
        <w:t>ипадк</w:t>
      </w:r>
      <w:r>
        <w:rPr>
          <w:szCs w:val="28"/>
          <w:lang w:val="uk-UA"/>
        </w:rPr>
        <w:t>и, коли</w:t>
      </w:r>
      <w:r w:rsidRPr="00385574">
        <w:rPr>
          <w:szCs w:val="28"/>
          <w:lang w:val="uk-UA"/>
        </w:rPr>
        <w:t xml:space="preserve"> кузов КТЗ не підлягає відновленню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rPr>
          <w:szCs w:val="28"/>
          <w:lang w:val="uk-UA"/>
        </w:rPr>
      </w:pPr>
      <w:r>
        <w:rPr>
          <w:szCs w:val="28"/>
          <w:lang w:val="uk-UA"/>
        </w:rPr>
        <w:t>Визначення</w:t>
      </w:r>
      <w:r w:rsidRPr="00385574">
        <w:rPr>
          <w:szCs w:val="28"/>
          <w:lang w:val="uk-UA"/>
        </w:rPr>
        <w:t xml:space="preserve"> заподіяного власнику ушкодженого транспортного засобу матеріального збитку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widowControl w:val="0"/>
        <w:numPr>
          <w:ilvl w:val="0"/>
          <w:numId w:val="3"/>
        </w:numPr>
        <w:tabs>
          <w:tab w:val="left" w:pos="709"/>
          <w:tab w:val="left" w:pos="1418"/>
        </w:tabs>
        <w:ind w:left="0" w:firstLine="709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Відміннсть</w:t>
      </w:r>
      <w:proofErr w:type="spellEnd"/>
      <w:r w:rsidRPr="00385574">
        <w:rPr>
          <w:szCs w:val="28"/>
          <w:lang w:val="uk-UA"/>
        </w:rPr>
        <w:t xml:space="preserve"> варт</w:t>
      </w:r>
      <w:r>
        <w:rPr>
          <w:szCs w:val="28"/>
          <w:lang w:val="uk-UA"/>
        </w:rPr>
        <w:t>о</w:t>
      </w:r>
      <w:r w:rsidRPr="00385574">
        <w:rPr>
          <w:szCs w:val="28"/>
          <w:lang w:val="uk-UA"/>
        </w:rPr>
        <w:t>ст</w:t>
      </w:r>
      <w:r>
        <w:rPr>
          <w:szCs w:val="28"/>
          <w:lang w:val="uk-UA"/>
        </w:rPr>
        <w:t>і</w:t>
      </w:r>
      <w:r w:rsidRPr="00385574">
        <w:rPr>
          <w:szCs w:val="28"/>
          <w:lang w:val="uk-UA"/>
        </w:rPr>
        <w:t xml:space="preserve"> матеріального збитку від вартості відновлювального ремонту</w:t>
      </w:r>
      <w:r>
        <w:rPr>
          <w:szCs w:val="28"/>
          <w:lang w:val="uk-UA"/>
        </w:rPr>
        <w:t>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Поняття огляду як невідкладної слідчої (розшукової) дії.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Завдання слідчого огляду при розслідуванні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lastRenderedPageBreak/>
        <w:t>Суб’єкти проведення огляду місця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Види слідчого огляду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Принципи проведення слідчого огляду 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Етапи проведення огляду місця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Об’єкти огляду при розслідуванні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Способи фіксації обстановки на місці дорожньо-транспортної події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Участь понятих у проведенні огляду місця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Процесуальні та криміналістичні вимоги до осіб, яких залучають у якості понятих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Використання допомоги спеціаліста у проведенні огляду місця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Випадки обов’язкової участі спеціаліста у проведенні огляду при розслідуванні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Прийоми огляду місця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Місце події. Визначення меж огляду.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bCs/>
          <w:szCs w:val="28"/>
          <w:lang w:val="uk-UA"/>
        </w:rPr>
      </w:pPr>
      <w:r w:rsidRPr="00385574">
        <w:rPr>
          <w:szCs w:val="28"/>
          <w:lang w:val="uk-UA"/>
        </w:rPr>
        <w:t>Способи фіксації доказової інформації під час огляду місця дорожньо-транспортної пригоди.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Основні засоби фіксації слідової інформації на місці події.</w:t>
      </w:r>
      <w:r w:rsidRPr="00385574">
        <w:rPr>
          <w:bCs/>
          <w:szCs w:val="28"/>
          <w:lang w:val="uk-UA"/>
        </w:rPr>
        <w:t xml:space="preserve"> 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Прийоми судово-оперативної зйомки на місці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Методи судово-оперативної зйомки на місці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Додатки до протоколу огляду місця події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огляду салону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огляду транспортного засобу.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огляду слідів гальмування.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Особливості огляду трупа людини.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bCs/>
          <w:szCs w:val="28"/>
          <w:lang w:val="uk-UA"/>
        </w:rPr>
      </w:pPr>
      <w:r w:rsidRPr="00385574">
        <w:rPr>
          <w:szCs w:val="28"/>
          <w:lang w:val="uk-UA"/>
        </w:rPr>
        <w:t>Алгоритм дій на місці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bCs/>
          <w:szCs w:val="28"/>
          <w:lang w:val="uk-UA"/>
        </w:rPr>
      </w:pPr>
      <w:r w:rsidRPr="00385574">
        <w:rPr>
          <w:szCs w:val="28"/>
          <w:lang w:val="uk-UA"/>
        </w:rPr>
        <w:t xml:space="preserve">Взаємодія </w:t>
      </w:r>
      <w:r w:rsidRPr="00385574">
        <w:rPr>
          <w:bCs/>
          <w:szCs w:val="28"/>
          <w:lang w:val="uk-UA"/>
        </w:rPr>
        <w:t>між учасниками огляду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Завдання початкового етапу огляду.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Завдання робочого етапу огляду.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Завдання заключного етапу огляду.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Загальні прийоми огляду місця </w:t>
      </w:r>
      <w:r w:rsidRPr="00385574">
        <w:rPr>
          <w:bCs/>
          <w:szCs w:val="28"/>
          <w:lang w:val="uk-UA"/>
        </w:rPr>
        <w:t>дорожньо-транспортної події під час зіткнення двох транспортних засобів.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Загальні прийоми огляду місця </w:t>
      </w:r>
      <w:r w:rsidRPr="00385574">
        <w:rPr>
          <w:bCs/>
          <w:szCs w:val="28"/>
          <w:lang w:val="uk-UA"/>
        </w:rPr>
        <w:t>дорожньо-транспортної події під час наїзду на перешкоду.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Загальні прийоми огляду місця </w:t>
      </w:r>
      <w:r w:rsidRPr="00385574">
        <w:rPr>
          <w:bCs/>
          <w:szCs w:val="28"/>
          <w:lang w:val="uk-UA"/>
        </w:rPr>
        <w:t>дорожньо-транспортної події під час випадіння пасажира із салону транспортного засобу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bCs/>
          <w:szCs w:val="28"/>
          <w:lang w:val="uk-UA"/>
        </w:rPr>
        <w:t>Типові види матеріальних слідів дорожньо-транспортної події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>Можливості використання цифрових технологій при здійсненні фіксації обставин 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Використання спеціальних знань під час огляду </w:t>
      </w:r>
      <w:r w:rsidRPr="00385574">
        <w:rPr>
          <w:bCs/>
          <w:szCs w:val="28"/>
          <w:lang w:val="uk-UA"/>
        </w:rPr>
        <w:t>дорожньо-транспортної події.</w:t>
      </w:r>
    </w:p>
    <w:p w:rsidR="001F3076" w:rsidRPr="00385574" w:rsidRDefault="001F3076" w:rsidP="001F3076">
      <w:pPr>
        <w:numPr>
          <w:ilvl w:val="0"/>
          <w:numId w:val="3"/>
        </w:numPr>
        <w:tabs>
          <w:tab w:val="left" w:pos="966"/>
        </w:tabs>
        <w:ind w:left="0" w:firstLine="709"/>
        <w:rPr>
          <w:szCs w:val="28"/>
          <w:lang w:val="uk-UA"/>
        </w:rPr>
      </w:pPr>
      <w:r w:rsidRPr="00385574">
        <w:rPr>
          <w:szCs w:val="28"/>
          <w:lang w:val="uk-UA"/>
        </w:rPr>
        <w:t xml:space="preserve">Основні види слідів </w:t>
      </w:r>
      <w:r w:rsidRPr="00385574">
        <w:rPr>
          <w:bCs/>
          <w:szCs w:val="28"/>
          <w:lang w:val="uk-UA"/>
        </w:rPr>
        <w:t>дорожньо-транспортної події та їх характеристика.</w:t>
      </w:r>
    </w:p>
    <w:p w:rsidR="002B3677" w:rsidRDefault="001F3076"/>
    <w:sectPr w:rsidR="002B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84794"/>
    <w:multiLevelType w:val="multilevel"/>
    <w:tmpl w:val="41CEF3DE"/>
    <w:styleLink w:val="5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4929DC"/>
    <w:multiLevelType w:val="multilevel"/>
    <w:tmpl w:val="9A88D026"/>
    <w:styleLink w:val="6"/>
    <w:lvl w:ilvl="0">
      <w:start w:val="1"/>
      <w:numFmt w:val="decimal"/>
      <w:lvlText w:val="%1."/>
      <w:lvlJc w:val="left"/>
      <w:pPr>
        <w:ind w:left="1429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686130FB"/>
    <w:multiLevelType w:val="hybridMultilevel"/>
    <w:tmpl w:val="A36858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90"/>
    <w:rsid w:val="001F3076"/>
    <w:rsid w:val="00273A69"/>
    <w:rsid w:val="003A0DD5"/>
    <w:rsid w:val="0078303B"/>
    <w:rsid w:val="009C71FB"/>
    <w:rsid w:val="00A24CF1"/>
    <w:rsid w:val="00C53890"/>
    <w:rsid w:val="00DA5FE5"/>
    <w:rsid w:val="00E10C3C"/>
    <w:rsid w:val="00E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B3B8E-6AC1-40B0-AD92-C9624223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07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Загальний програми"/>
    <w:basedOn w:val="a"/>
    <w:qFormat/>
    <w:rsid w:val="00DA5FE5"/>
    <w:rPr>
      <w:b/>
      <w:bCs/>
      <w:szCs w:val="32"/>
    </w:rPr>
  </w:style>
  <w:style w:type="paragraph" w:customStyle="1" w:styleId="2">
    <w:name w:val="2Заголовки в програмах"/>
    <w:basedOn w:val="1"/>
    <w:autoRedefine/>
    <w:qFormat/>
    <w:rsid w:val="00EE4BAE"/>
    <w:pPr>
      <w:jc w:val="left"/>
    </w:pPr>
  </w:style>
  <w:style w:type="paragraph" w:customStyle="1" w:styleId="3">
    <w:name w:val="3Заголовки розділів"/>
    <w:basedOn w:val="2"/>
    <w:autoRedefine/>
    <w:qFormat/>
    <w:rsid w:val="00EE4BAE"/>
    <w:pPr>
      <w:ind w:firstLine="0"/>
      <w:jc w:val="center"/>
    </w:pPr>
    <w:rPr>
      <w:caps/>
      <w:sz w:val="32"/>
    </w:rPr>
  </w:style>
  <w:style w:type="paragraph" w:customStyle="1" w:styleId="4">
    <w:name w:val="4Основні заголовки"/>
    <w:basedOn w:val="3"/>
    <w:autoRedefine/>
    <w:qFormat/>
    <w:rsid w:val="00EE4BAE"/>
    <w:rPr>
      <w:i/>
      <w:caps w:val="0"/>
      <w:sz w:val="28"/>
    </w:rPr>
  </w:style>
  <w:style w:type="numbering" w:customStyle="1" w:styleId="5">
    <w:name w:val="5Список"/>
    <w:basedOn w:val="a2"/>
    <w:uiPriority w:val="99"/>
    <w:rsid w:val="00EE4BAE"/>
    <w:pPr>
      <w:numPr>
        <w:numId w:val="1"/>
      </w:numPr>
    </w:pPr>
  </w:style>
  <w:style w:type="numbering" w:customStyle="1" w:styleId="6">
    <w:name w:val="6Список"/>
    <w:basedOn w:val="a2"/>
    <w:uiPriority w:val="99"/>
    <w:rsid w:val="00EE4BAE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1F3076"/>
    <w:pPr>
      <w:ind w:left="720"/>
      <w:contextualSpacing/>
    </w:pPr>
  </w:style>
  <w:style w:type="paragraph" w:customStyle="1" w:styleId="Style4">
    <w:name w:val="Style4"/>
    <w:basedOn w:val="a"/>
    <w:uiPriority w:val="99"/>
    <w:rsid w:val="001F3076"/>
    <w:pPr>
      <w:widowControl w:val="0"/>
      <w:autoSpaceDE w:val="0"/>
      <w:autoSpaceDN w:val="0"/>
      <w:adjustRightInd w:val="0"/>
      <w:spacing w:line="478" w:lineRule="exact"/>
      <w:ind w:firstLine="71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2018-05-14T06:03:00Z</dcterms:created>
  <dcterms:modified xsi:type="dcterms:W3CDTF">2018-05-14T06:04:00Z</dcterms:modified>
</cp:coreProperties>
</file>