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D1" w:rsidRPr="0081692C" w:rsidRDefault="006040D1" w:rsidP="006040D1">
      <w:pPr>
        <w:tabs>
          <w:tab w:val="left" w:pos="426"/>
          <w:tab w:val="left" w:pos="567"/>
          <w:tab w:val="left" w:pos="993"/>
        </w:tabs>
        <w:spacing w:after="0" w:line="240" w:lineRule="auto"/>
        <w:jc w:val="center"/>
        <w:rPr>
          <w:rFonts w:ascii="Times New Roman" w:hAnsi="Times New Roman"/>
          <w:b/>
          <w:sz w:val="28"/>
          <w:szCs w:val="28"/>
        </w:rPr>
      </w:pPr>
      <w:r w:rsidRPr="0081692C">
        <w:rPr>
          <w:rFonts w:ascii="Times New Roman" w:hAnsi="Times New Roman"/>
          <w:b/>
          <w:sz w:val="28"/>
          <w:szCs w:val="28"/>
        </w:rPr>
        <w:t>ПЕРЕЛІК ПИТАНЬ ДО КОМПЛЕКСНОГО ПІДСУМКОВОГО ЕКЗАМЕНУ</w:t>
      </w:r>
    </w:p>
    <w:p w:rsidR="00693822" w:rsidRPr="0081692C" w:rsidRDefault="006040D1" w:rsidP="006040D1">
      <w:pPr>
        <w:tabs>
          <w:tab w:val="left" w:pos="426"/>
          <w:tab w:val="left" w:pos="567"/>
          <w:tab w:val="left" w:pos="993"/>
        </w:tabs>
        <w:spacing w:after="0" w:line="240" w:lineRule="auto"/>
        <w:jc w:val="center"/>
        <w:rPr>
          <w:rFonts w:ascii="Times New Roman" w:hAnsi="Times New Roman"/>
          <w:b/>
          <w:sz w:val="28"/>
          <w:szCs w:val="28"/>
        </w:rPr>
      </w:pPr>
      <w:r w:rsidRPr="0081692C">
        <w:rPr>
          <w:rFonts w:ascii="Times New Roman" w:hAnsi="Times New Roman"/>
          <w:b/>
          <w:sz w:val="28"/>
          <w:szCs w:val="28"/>
        </w:rPr>
        <w:t xml:space="preserve">з підвищення кваліфікації </w:t>
      </w:r>
      <w:r w:rsidRPr="0081692C">
        <w:rPr>
          <w:rFonts w:ascii="Times New Roman" w:hAnsi="Times New Roman"/>
          <w:b/>
          <w:sz w:val="28"/>
          <w:szCs w:val="28"/>
        </w:rPr>
        <w:t xml:space="preserve">працівників </w:t>
      </w:r>
      <w:r w:rsidR="00693822" w:rsidRPr="0081692C">
        <w:rPr>
          <w:rFonts w:ascii="Times New Roman" w:hAnsi="Times New Roman"/>
          <w:b/>
          <w:sz w:val="28"/>
          <w:szCs w:val="28"/>
        </w:rPr>
        <w:t>підрозділів превентивної діяльності</w:t>
      </w:r>
    </w:p>
    <w:p w:rsidR="001934EC" w:rsidRPr="0081692C" w:rsidRDefault="001934EC" w:rsidP="00693822">
      <w:pPr>
        <w:tabs>
          <w:tab w:val="left" w:pos="426"/>
          <w:tab w:val="left" w:pos="567"/>
          <w:tab w:val="left" w:pos="993"/>
        </w:tabs>
        <w:spacing w:after="0" w:line="240" w:lineRule="auto"/>
        <w:jc w:val="center"/>
        <w:rPr>
          <w:rFonts w:ascii="Times New Roman" w:hAnsi="Times New Roman"/>
          <w:b/>
          <w:i/>
          <w:sz w:val="28"/>
          <w:szCs w:val="28"/>
        </w:rPr>
      </w:pP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Термін «близькі особи» відповідно до Закону України «Про запобігання корупції».</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Поняття приватного інтересу.</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Реальний конфлікт інтересів.</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Обмеження щодо використання службових повноважень чи свого становища відповідно до Закону України «Про запобігання корупції». </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Обмеження щодо одержання подарунків відповідно до Закону України   «Про запобігання корупції».</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Обмеження сумісництва та суміщення з іншими видами діяльності для поліцейського. </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Обмеження спільної роботи близьких осіб відповідно до Закону України «Про запобігання корупції».</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Дії поліцейського у разі надходження пропозиції щодо неправомірної вигоди або подарунка.</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Дії поліцейського, який виявив у своєму службовому приміщенні чи отримав майно, що може бути неправомірною вигодою, або подарунком.</w:t>
      </w:r>
    </w:p>
    <w:p w:rsidR="006B5D38" w:rsidRPr="0081692C" w:rsidRDefault="006B5D38" w:rsidP="006B5D38">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Додаткові заходи здійснення фінансового контролю відповідно до Закону України «Про запобігання корупції».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Поняття Національної поліції України.</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Основні принципи діяльності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Структура Національної поліції України.</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Систе</w:t>
      </w:r>
      <w:r w:rsidR="001934EC" w:rsidRPr="0081692C">
        <w:rPr>
          <w:rFonts w:ascii="Times New Roman" w:hAnsi="Times New Roman"/>
          <w:sz w:val="28"/>
          <w:szCs w:val="28"/>
        </w:rPr>
        <w:t>ма Національної поліції України.</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Види адміністративно-процесуальних документів, які складаються працівниками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Адміністративно-процесуальний документ, в якому закріплюються відомості про проведення процесуальних дій, їх зміст і наслідки.</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Незацікавлена у справі особа, яка покликана засвідчити факт, зміст і результати дій, при провадженні яких вон</w:t>
      </w:r>
      <w:r w:rsidR="007E6B45" w:rsidRPr="0081692C">
        <w:rPr>
          <w:rFonts w:ascii="Times New Roman" w:hAnsi="Times New Roman"/>
          <w:sz w:val="28"/>
          <w:szCs w:val="28"/>
        </w:rPr>
        <w:t>а</w:t>
      </w:r>
      <w:r w:rsidRPr="0081692C">
        <w:rPr>
          <w:rFonts w:ascii="Times New Roman" w:hAnsi="Times New Roman"/>
          <w:sz w:val="28"/>
          <w:szCs w:val="28"/>
        </w:rPr>
        <w:t xml:space="preserve"> бул</w:t>
      </w:r>
      <w:r w:rsidR="007E6B45" w:rsidRPr="0081692C">
        <w:rPr>
          <w:rFonts w:ascii="Times New Roman" w:hAnsi="Times New Roman"/>
          <w:sz w:val="28"/>
          <w:szCs w:val="28"/>
        </w:rPr>
        <w:t>а</w:t>
      </w:r>
      <w:r w:rsidRPr="0081692C">
        <w:rPr>
          <w:rFonts w:ascii="Times New Roman" w:hAnsi="Times New Roman"/>
          <w:sz w:val="28"/>
          <w:szCs w:val="28"/>
        </w:rPr>
        <w:t xml:space="preserve"> присутн</w:t>
      </w:r>
      <w:r w:rsidR="007E6B45" w:rsidRPr="0081692C">
        <w:rPr>
          <w:rFonts w:ascii="Times New Roman" w:hAnsi="Times New Roman"/>
          <w:sz w:val="28"/>
          <w:szCs w:val="28"/>
        </w:rPr>
        <w:t>я</w:t>
      </w:r>
      <w:r w:rsidRPr="0081692C">
        <w:rPr>
          <w:rFonts w:ascii="Times New Roman" w:hAnsi="Times New Roman"/>
          <w:sz w:val="28"/>
          <w:szCs w:val="28"/>
        </w:rPr>
        <w:t>.</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Зміст протоколу про адміністративне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Матеріали, які долучаються до протоколу про адміністративне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Строки адміністративного затримання особи.</w:t>
      </w:r>
    </w:p>
    <w:p w:rsidR="007E6B45" w:rsidRPr="0081692C" w:rsidRDefault="007E6B45" w:rsidP="007E6B45">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Обчислення строку адміністративного затримання.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Адміністративно-процесуальний документ, в якому можуть фіксуватись результати особистого огляду та огляду речей.</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Мета застосовування працівниками поліції заходів забезпечення провадження в справах </w:t>
      </w:r>
      <w:bookmarkStart w:id="0" w:name="_GoBack"/>
      <w:bookmarkEnd w:id="0"/>
      <w:r w:rsidRPr="0081692C">
        <w:rPr>
          <w:rFonts w:ascii="Times New Roman" w:hAnsi="Times New Roman"/>
          <w:sz w:val="28"/>
          <w:szCs w:val="28"/>
        </w:rPr>
        <w:t>про адміністративні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проведення особистого огляду, а також огляду речей за відсутності їх власника (володільця).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lastRenderedPageBreak/>
        <w:t>Види постанов у справах про адміністративні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Строки накладення адміністративного стягнення за вчинення адміністративного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Строки подання скарги на постанову </w:t>
      </w:r>
      <w:r w:rsidR="007E6B45" w:rsidRPr="0081692C">
        <w:rPr>
          <w:rFonts w:ascii="Times New Roman" w:hAnsi="Times New Roman"/>
          <w:sz w:val="28"/>
          <w:szCs w:val="28"/>
        </w:rPr>
        <w:t>у</w:t>
      </w:r>
      <w:r w:rsidRPr="0081692C">
        <w:rPr>
          <w:rFonts w:ascii="Times New Roman" w:hAnsi="Times New Roman"/>
          <w:sz w:val="28"/>
          <w:szCs w:val="28"/>
        </w:rPr>
        <w:t xml:space="preserve"> справі про адміністративне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фіксації факту отримання затриманою особою Пам'ятки для затриманих осіб.</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Максимальний строк затримання особи, яка порушила правила обігу наркотичних засобів і психотропних речовин.</w:t>
      </w:r>
    </w:p>
    <w:p w:rsidR="001934EC" w:rsidRPr="0081692C" w:rsidRDefault="007E6B45"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Строк </w:t>
      </w:r>
      <w:r w:rsidR="003F2B6E" w:rsidRPr="0081692C">
        <w:rPr>
          <w:rFonts w:ascii="Times New Roman" w:hAnsi="Times New Roman"/>
          <w:sz w:val="28"/>
          <w:szCs w:val="28"/>
        </w:rPr>
        <w:t>письмового повідомлення прокурора про адміністративне затримання особи до трьох діб.</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Строки доставлення правопорушника.</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інформування центрів з надання безоплатної вторинної правової допомоги про випадки затримання осіб.</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Обов’язки чергового при розгляді обставин щодо особи, яка доставлена до органу (підрозділу) поліції за вчинення адміністративного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Термін надсилання адміністративних матеріалів, оформлених поліцейськими до підрозділів адміністративної практики для подальшої їх реєстрації та опрацювання.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Принцип взаємодії з населенням на засадах партнерства згідно з Законом України «Про Національну поліцію».</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Сервісна функція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Оцінка рівня довіри населення до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Взаємодія з органами державної влади та місцевого самоврядування в діяльності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Прийняття резолюції недовіри керівнику органу (підрозділу)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Громадський контроль за діяльністю поліції згідно з Законом України «Про Національну поліцію».</w:t>
      </w:r>
    </w:p>
    <w:p w:rsidR="001934EC" w:rsidRPr="0081692C" w:rsidRDefault="001934EC"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В</w:t>
      </w:r>
      <w:r w:rsidR="003F2B6E" w:rsidRPr="0081692C">
        <w:rPr>
          <w:rFonts w:ascii="Times New Roman" w:hAnsi="Times New Roman"/>
          <w:sz w:val="28"/>
          <w:szCs w:val="28"/>
        </w:rPr>
        <w:t>ідомості</w:t>
      </w:r>
      <w:r w:rsidRPr="0081692C">
        <w:rPr>
          <w:rFonts w:ascii="Times New Roman" w:hAnsi="Times New Roman"/>
          <w:sz w:val="28"/>
          <w:szCs w:val="28"/>
        </w:rPr>
        <w:t xml:space="preserve">, що повинен </w:t>
      </w:r>
      <w:r w:rsidR="003F2B6E" w:rsidRPr="0081692C">
        <w:rPr>
          <w:rFonts w:ascii="Times New Roman" w:hAnsi="Times New Roman"/>
          <w:sz w:val="28"/>
          <w:szCs w:val="28"/>
        </w:rPr>
        <w:t>містити звіт про діяльність поліції та</w:t>
      </w:r>
      <w:r w:rsidRPr="0081692C">
        <w:rPr>
          <w:rFonts w:ascii="Times New Roman" w:hAnsi="Times New Roman"/>
          <w:sz w:val="28"/>
          <w:szCs w:val="28"/>
        </w:rPr>
        <w:t xml:space="preserve"> територіальних органів поліції.</w:t>
      </w:r>
    </w:p>
    <w:p w:rsidR="001934EC" w:rsidRPr="0081692C" w:rsidRDefault="001934EC"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Особливості взаємодії поліції з громадськістю.</w:t>
      </w:r>
    </w:p>
    <w:p w:rsidR="001934EC" w:rsidRPr="0081692C" w:rsidRDefault="001934EC"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w:t>
      </w:r>
      <w:r w:rsidR="003F2B6E" w:rsidRPr="0081692C">
        <w:rPr>
          <w:rFonts w:ascii="Times New Roman" w:hAnsi="Times New Roman"/>
          <w:sz w:val="28"/>
          <w:szCs w:val="28"/>
        </w:rPr>
        <w:t>півпрац</w:t>
      </w:r>
      <w:r w:rsidR="007E6B45" w:rsidRPr="0081692C">
        <w:rPr>
          <w:rFonts w:ascii="Times New Roman" w:hAnsi="Times New Roman"/>
          <w:sz w:val="28"/>
          <w:szCs w:val="28"/>
        </w:rPr>
        <w:t xml:space="preserve">я </w:t>
      </w:r>
      <w:r w:rsidRPr="0081692C">
        <w:rPr>
          <w:rFonts w:ascii="Times New Roman" w:hAnsi="Times New Roman"/>
          <w:sz w:val="28"/>
          <w:szCs w:val="28"/>
        </w:rPr>
        <w:t>поліці</w:t>
      </w:r>
      <w:r w:rsidR="007E6B45" w:rsidRPr="0081692C">
        <w:rPr>
          <w:rFonts w:ascii="Times New Roman" w:hAnsi="Times New Roman"/>
          <w:sz w:val="28"/>
          <w:szCs w:val="28"/>
        </w:rPr>
        <w:t>ї з</w:t>
      </w:r>
      <w:r w:rsidRPr="0081692C">
        <w:rPr>
          <w:rFonts w:ascii="Times New Roman" w:hAnsi="Times New Roman"/>
          <w:sz w:val="28"/>
          <w:szCs w:val="28"/>
        </w:rPr>
        <w:t xml:space="preserve"> громадськістю.</w:t>
      </w:r>
    </w:p>
    <w:p w:rsidR="001934EC" w:rsidRPr="0081692C" w:rsidRDefault="001934EC"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w:t>
      </w:r>
      <w:r w:rsidR="003F2B6E" w:rsidRPr="0081692C">
        <w:rPr>
          <w:rFonts w:ascii="Times New Roman" w:hAnsi="Times New Roman"/>
          <w:sz w:val="28"/>
          <w:szCs w:val="28"/>
        </w:rPr>
        <w:t>еріодичність інформування громадськості про діяльність поліції керівником органу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Особистий прийом громадян в системі Національної поліції.</w:t>
      </w:r>
    </w:p>
    <w:p w:rsidR="001934EC" w:rsidRPr="0081692C" w:rsidRDefault="007E6B45"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Строки </w:t>
      </w:r>
      <w:r w:rsidR="003F2B6E" w:rsidRPr="0081692C">
        <w:rPr>
          <w:rFonts w:ascii="Times New Roman" w:hAnsi="Times New Roman"/>
          <w:sz w:val="28"/>
          <w:szCs w:val="28"/>
        </w:rPr>
        <w:t>розгляду звернень громадян.</w:t>
      </w:r>
    </w:p>
    <w:p w:rsidR="001934EC" w:rsidRPr="0081692C" w:rsidRDefault="007E6B45"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Строки</w:t>
      </w:r>
      <w:r w:rsidR="003F2B6E" w:rsidRPr="0081692C">
        <w:rPr>
          <w:rFonts w:ascii="Times New Roman" w:hAnsi="Times New Roman"/>
          <w:sz w:val="28"/>
          <w:szCs w:val="28"/>
        </w:rPr>
        <w:t xml:space="preserve"> розгляду депутатського звернення.</w:t>
      </w:r>
    </w:p>
    <w:p w:rsidR="001934EC" w:rsidRPr="0081692C" w:rsidRDefault="007E6B45"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w:t>
      </w:r>
      <w:r w:rsidR="003F2B6E" w:rsidRPr="0081692C">
        <w:rPr>
          <w:rFonts w:ascii="Times New Roman" w:hAnsi="Times New Roman"/>
          <w:sz w:val="28"/>
          <w:szCs w:val="28"/>
        </w:rPr>
        <w:t xml:space="preserve"> обрахування </w:t>
      </w:r>
      <w:r w:rsidRPr="0081692C">
        <w:rPr>
          <w:rFonts w:ascii="Times New Roman" w:hAnsi="Times New Roman"/>
          <w:sz w:val="28"/>
          <w:szCs w:val="28"/>
        </w:rPr>
        <w:t xml:space="preserve">строків </w:t>
      </w:r>
      <w:r w:rsidR="003F2B6E" w:rsidRPr="0081692C">
        <w:rPr>
          <w:rFonts w:ascii="Times New Roman" w:hAnsi="Times New Roman"/>
          <w:sz w:val="28"/>
          <w:szCs w:val="28"/>
        </w:rPr>
        <w:t>розгляду звернень громадян про вчинені кримінальні пр</w:t>
      </w:r>
      <w:r w:rsidR="001934EC" w:rsidRPr="0081692C">
        <w:rPr>
          <w:rFonts w:ascii="Times New Roman" w:hAnsi="Times New Roman"/>
          <w:sz w:val="28"/>
          <w:szCs w:val="28"/>
        </w:rPr>
        <w:t xml:space="preserve">авопорушення та інші події, що </w:t>
      </w:r>
      <w:r w:rsidR="003F2B6E" w:rsidRPr="0081692C">
        <w:rPr>
          <w:rFonts w:ascii="Times New Roman" w:hAnsi="Times New Roman"/>
          <w:sz w:val="28"/>
          <w:szCs w:val="28"/>
        </w:rPr>
        <w:t>надійшли до органів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подання та реєстрації звернень та повідомлень з приводу жорстокого поводження з дітьми або загрози його вчинення.</w:t>
      </w:r>
    </w:p>
    <w:p w:rsidR="001934EC" w:rsidRPr="0081692C" w:rsidRDefault="001934EC"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Звернення, що</w:t>
      </w:r>
      <w:r w:rsidR="003F2B6E" w:rsidRPr="0081692C">
        <w:rPr>
          <w:rFonts w:ascii="Times New Roman" w:hAnsi="Times New Roman"/>
          <w:sz w:val="28"/>
          <w:szCs w:val="28"/>
        </w:rPr>
        <w:t xml:space="preserve"> не підлягають розгляду та вирішенню.</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lastRenderedPageBreak/>
        <w:t>Вимоги до звернення громадян.</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здійснення особистого прийому громадян керівниками органів, підрозділів поліції за місцем їх роботи та проживання.</w:t>
      </w:r>
    </w:p>
    <w:p w:rsidR="001934EC" w:rsidRPr="0081692C" w:rsidRDefault="007E6B45"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Строки</w:t>
      </w:r>
      <w:r w:rsidR="003F2B6E" w:rsidRPr="0081692C">
        <w:rPr>
          <w:rFonts w:ascii="Times New Roman" w:hAnsi="Times New Roman"/>
          <w:sz w:val="28"/>
          <w:szCs w:val="28"/>
        </w:rPr>
        <w:t xml:space="preserve"> розгляду депутатського запиту.</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Обов’язкові елементи електронно-реєстраційної картки під час автоматизованої реєстрації звернень громадян.</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Приймання та первинний розгляд анонімних листів, що містять відомості про вчинені кримінальні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попередження особи</w:t>
      </w:r>
      <w:r w:rsidR="001934EC" w:rsidRPr="0081692C">
        <w:rPr>
          <w:rFonts w:ascii="Times New Roman" w:hAnsi="Times New Roman"/>
          <w:sz w:val="28"/>
          <w:szCs w:val="28"/>
        </w:rPr>
        <w:t xml:space="preserve"> </w:t>
      </w:r>
      <w:r w:rsidRPr="0081692C">
        <w:rPr>
          <w:rFonts w:ascii="Times New Roman" w:hAnsi="Times New Roman"/>
          <w:sz w:val="28"/>
          <w:szCs w:val="28"/>
        </w:rPr>
        <w:t>про кримінальну відповідальність за завідомо неправдиве повідомлення про вчинення злочину, передбаченого ст. 383 КК України, яка подає заяву чи повідомляє про кримінальне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р</w:t>
      </w:r>
      <w:r w:rsidR="001934EC" w:rsidRPr="0081692C">
        <w:rPr>
          <w:rFonts w:ascii="Times New Roman" w:hAnsi="Times New Roman"/>
          <w:sz w:val="28"/>
          <w:szCs w:val="28"/>
        </w:rPr>
        <w:t xml:space="preserve">озгляду заяв і повідомлень, що </w:t>
      </w:r>
      <w:r w:rsidRPr="0081692C">
        <w:rPr>
          <w:rFonts w:ascii="Times New Roman" w:hAnsi="Times New Roman"/>
          <w:sz w:val="28"/>
          <w:szCs w:val="28"/>
        </w:rPr>
        <w:t>наді</w:t>
      </w:r>
      <w:r w:rsidR="001934EC" w:rsidRPr="0081692C">
        <w:rPr>
          <w:rFonts w:ascii="Times New Roman" w:hAnsi="Times New Roman"/>
          <w:sz w:val="28"/>
          <w:szCs w:val="28"/>
        </w:rPr>
        <w:t xml:space="preserve">йшли до чергової частини органу поліції </w:t>
      </w:r>
      <w:r w:rsidRPr="0081692C">
        <w:rPr>
          <w:rFonts w:ascii="Times New Roman" w:hAnsi="Times New Roman"/>
          <w:sz w:val="28"/>
          <w:szCs w:val="28"/>
        </w:rPr>
        <w:t>та</w:t>
      </w:r>
      <w:r w:rsidR="001934EC" w:rsidRPr="0081692C">
        <w:rPr>
          <w:rFonts w:ascii="Times New Roman" w:hAnsi="Times New Roman"/>
          <w:sz w:val="28"/>
          <w:szCs w:val="28"/>
        </w:rPr>
        <w:t xml:space="preserve"> </w:t>
      </w:r>
      <w:r w:rsidRPr="0081692C">
        <w:rPr>
          <w:rFonts w:ascii="Times New Roman" w:hAnsi="Times New Roman"/>
          <w:sz w:val="28"/>
          <w:szCs w:val="28"/>
        </w:rPr>
        <w:t xml:space="preserve">в яких відсутні відомості, </w:t>
      </w:r>
      <w:r w:rsidR="00B61CDA" w:rsidRPr="0081692C">
        <w:rPr>
          <w:rFonts w:ascii="Times New Roman" w:hAnsi="Times New Roman"/>
          <w:sz w:val="28"/>
          <w:szCs w:val="28"/>
        </w:rPr>
        <w:t>які</w:t>
      </w:r>
      <w:r w:rsidRPr="0081692C">
        <w:rPr>
          <w:rFonts w:ascii="Times New Roman" w:hAnsi="Times New Roman"/>
          <w:sz w:val="28"/>
          <w:szCs w:val="28"/>
        </w:rPr>
        <w:t xml:space="preserve"> вказують на вчинення кримінального правопорушення.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Дії начальника органу поліції у разі встановлення в заяві</w:t>
      </w:r>
      <w:r w:rsidR="00B61CDA" w:rsidRPr="0081692C">
        <w:rPr>
          <w:rFonts w:ascii="Times New Roman" w:hAnsi="Times New Roman"/>
          <w:sz w:val="28"/>
          <w:szCs w:val="28"/>
        </w:rPr>
        <w:t xml:space="preserve"> чи повідомленні відомостей, що</w:t>
      </w:r>
      <w:r w:rsidRPr="0081692C">
        <w:rPr>
          <w:rFonts w:ascii="Times New Roman" w:hAnsi="Times New Roman"/>
          <w:sz w:val="28"/>
          <w:szCs w:val="28"/>
        </w:rPr>
        <w:t xml:space="preserve"> вказують на вчиненн</w:t>
      </w:r>
      <w:r w:rsidR="00B61CDA" w:rsidRPr="0081692C">
        <w:rPr>
          <w:rFonts w:ascii="Times New Roman" w:hAnsi="Times New Roman"/>
          <w:sz w:val="28"/>
          <w:szCs w:val="28"/>
        </w:rPr>
        <w:t xml:space="preserve">я кримінального правопорушення, </w:t>
      </w:r>
      <w:r w:rsidRPr="0081692C">
        <w:rPr>
          <w:rFonts w:ascii="Times New Roman" w:hAnsi="Times New Roman"/>
          <w:sz w:val="28"/>
          <w:szCs w:val="28"/>
        </w:rPr>
        <w:t>яке зареєстровано в журналі Є</w:t>
      </w:r>
      <w:r w:rsidR="00B61CDA" w:rsidRPr="0081692C">
        <w:rPr>
          <w:rFonts w:ascii="Times New Roman" w:hAnsi="Times New Roman"/>
          <w:sz w:val="28"/>
          <w:szCs w:val="28"/>
        </w:rPr>
        <w:t>диного обліку</w:t>
      </w:r>
      <w:r w:rsidRPr="0081692C">
        <w:rPr>
          <w:rFonts w:ascii="Times New Roman" w:hAnsi="Times New Roman"/>
          <w:sz w:val="28"/>
          <w:szCs w:val="28"/>
        </w:rPr>
        <w:t>.</w:t>
      </w:r>
    </w:p>
    <w:p w:rsidR="001934EC" w:rsidRPr="0081692C" w:rsidRDefault="00B61CDA"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Д</w:t>
      </w:r>
      <w:r w:rsidR="007E6B45" w:rsidRPr="0081692C">
        <w:rPr>
          <w:rFonts w:ascii="Times New Roman" w:hAnsi="Times New Roman"/>
          <w:sz w:val="28"/>
          <w:szCs w:val="28"/>
        </w:rPr>
        <w:t>жерела</w:t>
      </w:r>
      <w:r w:rsidR="003F2B6E" w:rsidRPr="0081692C">
        <w:rPr>
          <w:rFonts w:ascii="Times New Roman" w:hAnsi="Times New Roman"/>
          <w:sz w:val="28"/>
          <w:szCs w:val="28"/>
        </w:rPr>
        <w:t xml:space="preserve"> інформації відповідно до нака</w:t>
      </w:r>
      <w:r w:rsidRPr="0081692C">
        <w:rPr>
          <w:rFonts w:ascii="Times New Roman" w:hAnsi="Times New Roman"/>
          <w:sz w:val="28"/>
          <w:szCs w:val="28"/>
        </w:rPr>
        <w:t>зу МВС України від 06.11.2015 № </w:t>
      </w:r>
      <w:r w:rsidR="003F2B6E" w:rsidRPr="0081692C">
        <w:rPr>
          <w:rFonts w:ascii="Times New Roman" w:hAnsi="Times New Roman"/>
          <w:sz w:val="28"/>
          <w:szCs w:val="28"/>
        </w:rPr>
        <w:t>1377 «Про твердження Інструкції про порядок ведення єдиного обліку в органах поліції заяв і повідомлень про вчинені кримінальні правопорушення та інші події».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Форми взаємодії </w:t>
      </w:r>
      <w:r w:rsidR="002108EC" w:rsidRPr="0081692C">
        <w:rPr>
          <w:rFonts w:ascii="Times New Roman" w:hAnsi="Times New Roman"/>
          <w:sz w:val="28"/>
          <w:szCs w:val="28"/>
        </w:rPr>
        <w:t xml:space="preserve">груп реагування патрульної поліції </w:t>
      </w:r>
      <w:r w:rsidRPr="0081692C">
        <w:rPr>
          <w:rFonts w:ascii="Times New Roman" w:hAnsi="Times New Roman"/>
          <w:sz w:val="28"/>
          <w:szCs w:val="28"/>
        </w:rPr>
        <w:t>з іншими підрозділами Національної поліції.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Правова основа взаємодії </w:t>
      </w:r>
      <w:r w:rsidR="002108EC" w:rsidRPr="0081692C">
        <w:rPr>
          <w:rFonts w:ascii="Times New Roman" w:hAnsi="Times New Roman"/>
          <w:sz w:val="28"/>
          <w:szCs w:val="28"/>
        </w:rPr>
        <w:t>груп реагування патрульної поліції</w:t>
      </w:r>
      <w:r w:rsidRPr="0081692C">
        <w:rPr>
          <w:rFonts w:ascii="Times New Roman" w:hAnsi="Times New Roman"/>
          <w:sz w:val="28"/>
          <w:szCs w:val="28"/>
        </w:rPr>
        <w:t xml:space="preserve"> з органами досудового розслідування.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Склад слідчо-оперативної групи.</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Повноваження поліцейського </w:t>
      </w:r>
      <w:r w:rsidR="002108EC" w:rsidRPr="0081692C">
        <w:rPr>
          <w:rFonts w:ascii="Times New Roman" w:hAnsi="Times New Roman"/>
          <w:sz w:val="28"/>
          <w:szCs w:val="28"/>
        </w:rPr>
        <w:t>груп реагування патрульної поліції</w:t>
      </w:r>
      <w:r w:rsidRPr="0081692C">
        <w:rPr>
          <w:rFonts w:ascii="Times New Roman" w:hAnsi="Times New Roman"/>
          <w:sz w:val="28"/>
          <w:szCs w:val="28"/>
        </w:rPr>
        <w:t xml:space="preserve"> на місці події.</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Поняття взаємодії поліції з органами державної влади та органами місцевого самоврядування.</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Напрями співпраці </w:t>
      </w:r>
      <w:r w:rsidR="002108EC" w:rsidRPr="0081692C">
        <w:rPr>
          <w:rFonts w:ascii="Times New Roman" w:hAnsi="Times New Roman"/>
          <w:sz w:val="28"/>
          <w:szCs w:val="28"/>
        </w:rPr>
        <w:t>груп реагування патрульної поліції</w:t>
      </w:r>
      <w:r w:rsidRPr="0081692C">
        <w:rPr>
          <w:rFonts w:ascii="Times New Roman" w:hAnsi="Times New Roman"/>
          <w:sz w:val="28"/>
          <w:szCs w:val="28"/>
        </w:rPr>
        <w:t xml:space="preserve"> з </w:t>
      </w:r>
      <w:r w:rsidR="002108EC" w:rsidRPr="0081692C">
        <w:rPr>
          <w:rFonts w:ascii="Times New Roman" w:hAnsi="Times New Roman"/>
          <w:sz w:val="28"/>
          <w:szCs w:val="28"/>
        </w:rPr>
        <w:t>дільничними офіцерами поліції</w:t>
      </w:r>
      <w:r w:rsidRPr="0081692C">
        <w:rPr>
          <w:rFonts w:ascii="Times New Roman" w:hAnsi="Times New Roman"/>
          <w:sz w:val="28"/>
          <w:szCs w:val="28"/>
        </w:rPr>
        <w:t>.</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обміну інформацією про стан оперативної обста</w:t>
      </w:r>
      <w:r w:rsidR="002108EC" w:rsidRPr="0081692C">
        <w:rPr>
          <w:rFonts w:ascii="Times New Roman" w:hAnsi="Times New Roman"/>
          <w:sz w:val="28"/>
          <w:szCs w:val="28"/>
        </w:rPr>
        <w:t>новки між дільничними інспекторами прикордонної служби та дільничними офіцерами поліції</w:t>
      </w:r>
      <w:r w:rsidRPr="0081692C">
        <w:rPr>
          <w:rFonts w:ascii="Times New Roman" w:hAnsi="Times New Roman"/>
          <w:sz w:val="28"/>
          <w:szCs w:val="28"/>
        </w:rPr>
        <w:t>.</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Основні форми взаємодії </w:t>
      </w:r>
      <w:r w:rsidR="002108EC" w:rsidRPr="0081692C">
        <w:rPr>
          <w:rFonts w:ascii="Times New Roman" w:hAnsi="Times New Roman"/>
          <w:sz w:val="28"/>
          <w:szCs w:val="28"/>
        </w:rPr>
        <w:t>груп реагування патрульної поліції</w:t>
      </w:r>
      <w:r w:rsidRPr="0081692C">
        <w:rPr>
          <w:rFonts w:ascii="Times New Roman" w:hAnsi="Times New Roman"/>
          <w:sz w:val="28"/>
          <w:szCs w:val="28"/>
        </w:rPr>
        <w:t xml:space="preserve"> з органами державної влади та органами місцевого самоврядування з питань діяльності громадських формувань з охорони громадського порядку.</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Накопичення інформації про діяльність громадських формувань з охорони </w:t>
      </w:r>
      <w:r w:rsidR="0065106E" w:rsidRPr="0081692C">
        <w:rPr>
          <w:rFonts w:ascii="Times New Roman" w:hAnsi="Times New Roman"/>
          <w:sz w:val="28"/>
          <w:szCs w:val="28"/>
        </w:rPr>
        <w:t>публічного</w:t>
      </w:r>
      <w:r w:rsidRPr="0081692C">
        <w:rPr>
          <w:rFonts w:ascii="Times New Roman" w:hAnsi="Times New Roman"/>
          <w:sz w:val="28"/>
          <w:szCs w:val="28"/>
        </w:rPr>
        <w:t xml:space="preserve"> порядку.</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Обов’язки особового складу поліції під час введення режиму надзвичайного стану.</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lastRenderedPageBreak/>
        <w:t>Терміни подання до поліції організаторами проведення масового заходу інформації про передбачувану кількість глядачів.</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Обов’язок що</w:t>
      </w:r>
      <w:r w:rsidR="00B61CDA" w:rsidRPr="0081692C">
        <w:rPr>
          <w:rFonts w:ascii="Times New Roman" w:hAnsi="Times New Roman"/>
          <w:sz w:val="28"/>
          <w:szCs w:val="28"/>
        </w:rPr>
        <w:t xml:space="preserve">до керування силами </w:t>
      </w:r>
      <w:r w:rsidRPr="0081692C">
        <w:rPr>
          <w:rFonts w:ascii="Times New Roman" w:hAnsi="Times New Roman"/>
          <w:sz w:val="28"/>
          <w:szCs w:val="28"/>
        </w:rPr>
        <w:t>та</w:t>
      </w:r>
      <w:r w:rsidR="00B61CDA" w:rsidRPr="0081692C">
        <w:rPr>
          <w:rFonts w:ascii="Times New Roman" w:hAnsi="Times New Roman"/>
          <w:sz w:val="28"/>
          <w:szCs w:val="28"/>
        </w:rPr>
        <w:t xml:space="preserve"> </w:t>
      </w:r>
      <w:r w:rsidRPr="0081692C">
        <w:rPr>
          <w:rFonts w:ascii="Times New Roman" w:hAnsi="Times New Roman"/>
          <w:sz w:val="28"/>
          <w:szCs w:val="28"/>
        </w:rPr>
        <w:t>засобами, залученими до підтримання публічно</w:t>
      </w:r>
      <w:r w:rsidR="00B61CDA" w:rsidRPr="0081692C">
        <w:rPr>
          <w:rFonts w:ascii="Times New Roman" w:hAnsi="Times New Roman"/>
          <w:sz w:val="28"/>
          <w:szCs w:val="28"/>
        </w:rPr>
        <w:t xml:space="preserve">го порядку, в період підготовки </w:t>
      </w:r>
      <w:r w:rsidRPr="0081692C">
        <w:rPr>
          <w:rFonts w:ascii="Times New Roman" w:hAnsi="Times New Roman"/>
          <w:sz w:val="28"/>
          <w:szCs w:val="28"/>
        </w:rPr>
        <w:t>та</w:t>
      </w:r>
      <w:r w:rsidR="00B61CDA" w:rsidRPr="0081692C">
        <w:rPr>
          <w:rFonts w:ascii="Times New Roman" w:hAnsi="Times New Roman"/>
          <w:sz w:val="28"/>
          <w:szCs w:val="28"/>
        </w:rPr>
        <w:t xml:space="preserve"> </w:t>
      </w:r>
      <w:r w:rsidRPr="0081692C">
        <w:rPr>
          <w:rFonts w:ascii="Times New Roman" w:hAnsi="Times New Roman"/>
          <w:sz w:val="28"/>
          <w:szCs w:val="28"/>
        </w:rPr>
        <w:t>проведення масових заходів.</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Підстави введення посиленого варіанту службової діяльності.</w:t>
      </w:r>
    </w:p>
    <w:p w:rsidR="001934EC" w:rsidRPr="0081692C" w:rsidRDefault="00B61CDA"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Порядок розв'язання питання </w:t>
      </w:r>
      <w:r w:rsidR="003F2B6E" w:rsidRPr="0081692C">
        <w:rPr>
          <w:rFonts w:ascii="Times New Roman" w:hAnsi="Times New Roman"/>
          <w:sz w:val="28"/>
          <w:szCs w:val="28"/>
        </w:rPr>
        <w:t>щодо проведен</w:t>
      </w:r>
      <w:r w:rsidR="0065106E" w:rsidRPr="0081692C">
        <w:rPr>
          <w:rFonts w:ascii="Times New Roman" w:hAnsi="Times New Roman"/>
          <w:sz w:val="28"/>
          <w:szCs w:val="28"/>
        </w:rPr>
        <w:t>ня масових заходів, передбачених</w:t>
      </w:r>
      <w:r w:rsidR="003F2B6E" w:rsidRPr="0081692C">
        <w:rPr>
          <w:rFonts w:ascii="Times New Roman" w:hAnsi="Times New Roman"/>
          <w:sz w:val="28"/>
          <w:szCs w:val="28"/>
        </w:rPr>
        <w:t xml:space="preserve"> Конституцією України.</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встановлення обмежень щодо проведення масових заходів.</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Ознаки публічного порядку.</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Забезпечення органами Національної поліції публічного порядку та безпеки під час проведення футбольного матчу.</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Порядок введення на територію спортивної споруди, у тому числі на її трибуни, поліцейських.</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Підстави для припинення зборів, мітингів, вуличних походів та демонстрацій.</w:t>
      </w:r>
    </w:p>
    <w:p w:rsidR="001934EC" w:rsidRPr="0081692C" w:rsidRDefault="003F2B6E" w:rsidP="001934EC">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Методична допомога поліцейським груп реагування патрульної поліції.</w:t>
      </w:r>
    </w:p>
    <w:p w:rsidR="005A5BF6" w:rsidRPr="0081692C" w:rsidRDefault="003F2B6E" w:rsidP="005A5BF6">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Право уведення спеціальних оперативних планів, оголошення збору працівників поліції ГУНП або його територіальних підрозділів поліції за навчальними сигналами та сигналами оповіщення.</w:t>
      </w:r>
    </w:p>
    <w:p w:rsidR="005A5BF6" w:rsidRPr="0081692C" w:rsidRDefault="005A5BF6" w:rsidP="005A5BF6">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Загальні правила тримання особи під вартою згідно Конституції України та Конвенції про захист прав людини і основоположних свобод 1950 року.</w:t>
      </w:r>
    </w:p>
    <w:p w:rsidR="005A5BF6" w:rsidRPr="0081692C" w:rsidRDefault="005A5BF6" w:rsidP="005A5BF6">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lang w:eastAsia="ru-RU"/>
        </w:rPr>
        <w:t>Проникнення до житла чи до іншого володіння особи у невідкладних випадках без вмотивованого рішення суду.</w:t>
      </w:r>
    </w:p>
    <w:p w:rsidR="005A5BF6" w:rsidRPr="0081692C" w:rsidRDefault="005A5BF6" w:rsidP="005A5BF6">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lang w:eastAsia="ru-RU"/>
        </w:rPr>
        <w:t xml:space="preserve">Зміст права на свободу та недоторканність згідно </w:t>
      </w:r>
      <w:r w:rsidR="00EC3F48" w:rsidRPr="0081692C">
        <w:rPr>
          <w:rFonts w:ascii="Times New Roman" w:hAnsi="Times New Roman"/>
          <w:sz w:val="28"/>
          <w:szCs w:val="28"/>
          <w:lang w:eastAsia="ru-RU"/>
        </w:rPr>
        <w:t xml:space="preserve">зі </w:t>
      </w:r>
      <w:r w:rsidRPr="0081692C">
        <w:rPr>
          <w:rFonts w:ascii="Times New Roman" w:hAnsi="Times New Roman"/>
          <w:sz w:val="28"/>
          <w:szCs w:val="28"/>
          <w:lang w:eastAsia="ru-RU"/>
        </w:rPr>
        <w:t>ст. 5 «Право на свободу та особисту недоторканність» Конвенції про захист прав людини і основоположних свобод 1950 року.</w:t>
      </w:r>
    </w:p>
    <w:p w:rsidR="005A5BF6" w:rsidRPr="0081692C" w:rsidRDefault="005A5BF6" w:rsidP="005A5BF6">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shd w:val="clear" w:color="auto" w:fill="FFFFFF"/>
          <w:lang w:eastAsia="ru-RU"/>
        </w:rPr>
        <w:t>Порядок проведення обшуку у помешканні особи відповідно до Конституції України.</w:t>
      </w:r>
    </w:p>
    <w:p w:rsidR="005A5BF6" w:rsidRPr="0081692C" w:rsidRDefault="005A5BF6" w:rsidP="005A5BF6">
      <w:pPr>
        <w:pStyle w:val="a3"/>
        <w:numPr>
          <w:ilvl w:val="0"/>
          <w:numId w:val="10"/>
        </w:numPr>
        <w:tabs>
          <w:tab w:val="left" w:pos="993"/>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lang w:eastAsia="ru-RU"/>
        </w:rPr>
        <w:t>Право на таємницю листування, телефонних розмов, телеграфної та іншої кореспонденції</w:t>
      </w:r>
      <w:r w:rsidRPr="0081692C">
        <w:rPr>
          <w:rFonts w:ascii="Times New Roman" w:hAnsi="Times New Roman"/>
          <w:bCs/>
          <w:sz w:val="28"/>
          <w:szCs w:val="28"/>
          <w:lang w:eastAsia="ru-RU"/>
        </w:rPr>
        <w:t xml:space="preserve"> та підстави його обмеження згідно </w:t>
      </w:r>
      <w:r w:rsidR="00EC3F48" w:rsidRPr="0081692C">
        <w:rPr>
          <w:rFonts w:ascii="Times New Roman" w:hAnsi="Times New Roman"/>
          <w:bCs/>
          <w:sz w:val="28"/>
          <w:szCs w:val="28"/>
          <w:lang w:eastAsia="ru-RU"/>
        </w:rPr>
        <w:t xml:space="preserve">з Конституцією </w:t>
      </w:r>
      <w:r w:rsidRPr="0081692C">
        <w:rPr>
          <w:rFonts w:ascii="Times New Roman" w:hAnsi="Times New Roman"/>
          <w:bCs/>
          <w:sz w:val="28"/>
          <w:szCs w:val="28"/>
          <w:lang w:eastAsia="ru-RU"/>
        </w:rPr>
        <w:t>України.</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eastAsia="Times New Roman" w:hAnsi="Times New Roman"/>
          <w:sz w:val="28"/>
          <w:szCs w:val="28"/>
          <w:lang w:eastAsia="uk-UA"/>
        </w:rPr>
        <w:t>Повноваження уповноважених підрозділів органів Національної поліції України у сфері запобігання та протидії домашньому насильству.</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Обмежувальні заходи, що застосовуються до осіб, які вчинили домашнє насильство.</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Контроль за поведінкою засуджених, до яких застосовано обмежувальні заходи.</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Основні види домашнього насильства.</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Визначення протидії </w:t>
      </w:r>
      <w:r w:rsidRPr="0081692C">
        <w:rPr>
          <w:rFonts w:ascii="Times New Roman" w:eastAsia="Times New Roman" w:hAnsi="Times New Roman"/>
          <w:sz w:val="28"/>
          <w:szCs w:val="28"/>
          <w:lang w:eastAsia="uk-UA"/>
        </w:rPr>
        <w:t>домашньому насильству.</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eastAsia="Times New Roman" w:hAnsi="Times New Roman"/>
          <w:sz w:val="28"/>
          <w:szCs w:val="28"/>
          <w:lang w:eastAsia="uk-UA"/>
        </w:rPr>
        <w:t>Обмежувальний припис стосовно кривдника.</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Оцінка ризиків вірогідності продовження чи повторного вчинення домашнього насильства.</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lastRenderedPageBreak/>
        <w:t>Профілактичний облік осіб, які вчиняють домашнє насильство.</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Терміновий заборонний припис стосовно кривдника.</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Обмежувальний припис стосовно кривдника.</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Превентивні заходи</w:t>
      </w:r>
      <w:r w:rsidRPr="0081692C">
        <w:rPr>
          <w:rFonts w:ascii="Times New Roman" w:hAnsi="Times New Roman"/>
          <w:sz w:val="28"/>
          <w:szCs w:val="28"/>
        </w:rPr>
        <w:t>, які</w:t>
      </w:r>
      <w:r w:rsidRPr="0081692C">
        <w:rPr>
          <w:rFonts w:ascii="Times New Roman" w:hAnsi="Times New Roman"/>
          <w:sz w:val="28"/>
          <w:szCs w:val="28"/>
        </w:rPr>
        <w:t xml:space="preserve"> може застосовувати поліцейський.</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Випадки припинення проведення превентивної роботи.</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Заходи загальної превенції (профілактики) правопорушень. </w:t>
      </w:r>
    </w:p>
    <w:p w:rsidR="00EC3F48" w:rsidRPr="0081692C" w:rsidRDefault="00EC3F48" w:rsidP="00EC3F48">
      <w:pPr>
        <w:pStyle w:val="a3"/>
        <w:numPr>
          <w:ilvl w:val="0"/>
          <w:numId w:val="10"/>
        </w:numPr>
        <w:tabs>
          <w:tab w:val="left" w:pos="1134"/>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 xml:space="preserve">Поліцейське піклування. </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Обов’язки поліцейського під час проведення превентивних поліцейських заходів.</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Основні принципи превентивної (профілактичної) роботи поліції.</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hAnsi="Times New Roman"/>
          <w:sz w:val="28"/>
          <w:szCs w:val="28"/>
        </w:rPr>
      </w:pPr>
      <w:r w:rsidRPr="0081692C">
        <w:rPr>
          <w:rFonts w:ascii="Times New Roman" w:hAnsi="Times New Roman"/>
          <w:sz w:val="28"/>
          <w:szCs w:val="28"/>
        </w:rPr>
        <w:t>Шляхи виявлення осіб, схильних до скоєння правопорушень притаманні в роботі поліцейського.</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Форма реалізації примусу як одного із основних методів індивідуально – профілактичної роботи.</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hAnsi="Times New Roman"/>
          <w:bCs/>
          <w:sz w:val="28"/>
          <w:szCs w:val="28"/>
        </w:rPr>
      </w:pPr>
      <w:r w:rsidRPr="0081692C">
        <w:rPr>
          <w:rFonts w:ascii="Times New Roman" w:eastAsia="Times New Roman" w:hAnsi="Times New Roman"/>
          <w:sz w:val="28"/>
          <w:szCs w:val="28"/>
          <w:lang w:eastAsia="ru-RU"/>
        </w:rPr>
        <w:t>Профілактична бесіда як форма впливу на правопорушника.</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bCs/>
          <w:sz w:val="28"/>
          <w:szCs w:val="28"/>
        </w:rPr>
        <w:t>Форми взаємодії поліції із громадськими формуваннями, що беруть участь в охороні публічного порядку.</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Особливості індивідуально-профілактичної роботи з особами, які перебувають на профілактичному обліку підрозділів поліції.</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Запобігання злочинності.</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Напрями запобіжної діяльності, які здійснюються Національною поліцією України.</w:t>
      </w:r>
    </w:p>
    <w:p w:rsidR="00EC3F48" w:rsidRPr="0081692C" w:rsidRDefault="00EC3F48" w:rsidP="00EC3F48">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Методи превентивної (профілактичної) діяльності.</w:t>
      </w:r>
    </w:p>
    <w:p w:rsidR="00F027A0" w:rsidRPr="0081692C" w:rsidRDefault="00EC3F48" w:rsidP="00F027A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Форми превентивної (профілактичної) діяльності.</w:t>
      </w:r>
    </w:p>
    <w:p w:rsidR="00E51789" w:rsidRPr="0081692C" w:rsidRDefault="00F027A0" w:rsidP="00E5178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napToGrid w:val="0"/>
          <w:sz w:val="28"/>
          <w:szCs w:val="28"/>
          <w:lang w:eastAsia="ru-RU"/>
        </w:rPr>
        <w:t xml:space="preserve">Основний безпосередній об’єкт </w:t>
      </w:r>
      <w:r w:rsidRPr="0081692C">
        <w:rPr>
          <w:rFonts w:ascii="Times New Roman" w:hAnsi="Times New Roman"/>
          <w:sz w:val="28"/>
          <w:szCs w:val="28"/>
          <w:lang w:eastAsia="ru-RU"/>
        </w:rPr>
        <w:t>злочину, передбаченого ч. 1 ст. 149 КК України.</w:t>
      </w:r>
    </w:p>
    <w:p w:rsidR="00E51789" w:rsidRPr="0081692C" w:rsidRDefault="00E51789" w:rsidP="00E5178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О</w:t>
      </w:r>
      <w:r w:rsidRPr="0081692C">
        <w:rPr>
          <w:rFonts w:ascii="Times New Roman" w:hAnsi="Times New Roman"/>
          <w:sz w:val="28"/>
          <w:szCs w:val="28"/>
        </w:rPr>
        <w:t>б’єктивн</w:t>
      </w:r>
      <w:r w:rsidRPr="0081692C">
        <w:rPr>
          <w:rFonts w:ascii="Times New Roman" w:hAnsi="Times New Roman"/>
          <w:sz w:val="28"/>
          <w:szCs w:val="28"/>
        </w:rPr>
        <w:t>а</w:t>
      </w:r>
      <w:r w:rsidRPr="0081692C">
        <w:rPr>
          <w:rFonts w:ascii="Times New Roman" w:hAnsi="Times New Roman"/>
          <w:sz w:val="28"/>
          <w:szCs w:val="28"/>
        </w:rPr>
        <w:t xml:space="preserve"> сторон</w:t>
      </w:r>
      <w:r w:rsidRPr="0081692C">
        <w:rPr>
          <w:rFonts w:ascii="Times New Roman" w:hAnsi="Times New Roman"/>
          <w:sz w:val="28"/>
          <w:szCs w:val="28"/>
        </w:rPr>
        <w:t>а</w:t>
      </w:r>
      <w:r w:rsidRPr="0081692C">
        <w:rPr>
          <w:rFonts w:ascii="Times New Roman" w:hAnsi="Times New Roman"/>
          <w:sz w:val="28"/>
          <w:szCs w:val="28"/>
        </w:rPr>
        <w:t xml:space="preserve"> злочину, передбаченого ч. 1 ст. 149 КК України</w:t>
      </w:r>
      <w:r w:rsidRPr="0081692C">
        <w:rPr>
          <w:rFonts w:ascii="Times New Roman" w:hAnsi="Times New Roman"/>
          <w:sz w:val="28"/>
          <w:szCs w:val="28"/>
        </w:rPr>
        <w:t>.</w:t>
      </w:r>
    </w:p>
    <w:p w:rsidR="00CA2869" w:rsidRPr="0081692C" w:rsidRDefault="00CA2869" w:rsidP="00CA286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Суб’єкт торгівлі людьми або іншої незаконної угоди щодо людини</w:t>
      </w:r>
      <w:r w:rsidRPr="0081692C">
        <w:rPr>
          <w:rFonts w:ascii="Times New Roman" w:hAnsi="Times New Roman"/>
          <w:sz w:val="28"/>
          <w:szCs w:val="28"/>
        </w:rPr>
        <w:t>.</w:t>
      </w:r>
    </w:p>
    <w:p w:rsidR="00E51789" w:rsidRPr="0081692C" w:rsidRDefault="00E51789" w:rsidP="00E5178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bCs/>
          <w:sz w:val="28"/>
          <w:szCs w:val="28"/>
          <w:lang w:eastAsia="ru-RU"/>
        </w:rPr>
        <w:t>Поняття «переміщення людини» за ст. 149 КК України.</w:t>
      </w:r>
    </w:p>
    <w:p w:rsidR="00E51789" w:rsidRPr="0081692C" w:rsidRDefault="00E51789" w:rsidP="00E5178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Дії, що охоплюються поняттям «експлуатація людини» під час торгівлі людьми.</w:t>
      </w:r>
    </w:p>
    <w:p w:rsidR="00E51789" w:rsidRPr="0081692C" w:rsidRDefault="00E51789" w:rsidP="00E5178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Настання відповідальності за переміщення малолітнього згідно зі ст. 149 КК України.</w:t>
      </w:r>
    </w:p>
    <w:p w:rsidR="00CA2869" w:rsidRPr="0081692C" w:rsidRDefault="00CA2869" w:rsidP="00E5178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Поняття «корупційні злочини» та їх типові ознаки.</w:t>
      </w:r>
    </w:p>
    <w:p w:rsidR="00CA2869" w:rsidRPr="0081692C" w:rsidRDefault="00CA2869" w:rsidP="00E5178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lang w:eastAsia="uk-UA"/>
        </w:rPr>
        <w:t>Критерії класифікації корупційних злочинів.</w:t>
      </w:r>
    </w:p>
    <w:p w:rsidR="00CA2869" w:rsidRPr="0081692C" w:rsidRDefault="00CA2869" w:rsidP="00CA286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lang w:eastAsia="uk-UA"/>
        </w:rPr>
        <w:t>Поняття «службова особа».</w:t>
      </w:r>
    </w:p>
    <w:p w:rsidR="00CA2869" w:rsidRPr="0081692C" w:rsidRDefault="00CA2869" w:rsidP="00CA286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Значний, великий та особливо великий розмір неправомірної вигоди при прийнятті пропозиції, обіцянки або одержанні її службовою особою.</w:t>
      </w:r>
    </w:p>
    <w:p w:rsidR="00CA2869" w:rsidRPr="0081692C" w:rsidRDefault="00CA2869" w:rsidP="00CA286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Зміст суб’єктивної сторони складу злочину, передбаченого ст. 364 КК України.</w:t>
      </w:r>
    </w:p>
    <w:p w:rsidR="00CA2869" w:rsidRPr="0081692C" w:rsidRDefault="00CA2869" w:rsidP="00CA286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Зміст пропозиції та обіцянки неправомірної вигоди.</w:t>
      </w:r>
    </w:p>
    <w:p w:rsidR="00CA2869" w:rsidRPr="0081692C" w:rsidRDefault="00CA2869" w:rsidP="00CA2869">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lastRenderedPageBreak/>
        <w:t>Істотна шкода (у ст.ст. 364, 364-1, 365, 365-2, 367 КК України) та тяжкі наслідки (у ст.ст. 364–367 КК України).</w:t>
      </w:r>
    </w:p>
    <w:p w:rsidR="00AB2340" w:rsidRPr="0081692C" w:rsidRDefault="00CA2869"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Суб’єктивна сторона складу злочину зловживання владою або службовим становищем.</w:t>
      </w:r>
    </w:p>
    <w:p w:rsidR="00AB2340" w:rsidRPr="0081692C" w:rsidRDefault="00AB2340"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Особливості складу «незаконного збагачення».</w:t>
      </w:r>
    </w:p>
    <w:p w:rsidR="00CA2869" w:rsidRPr="0081692C" w:rsidRDefault="00AB2340"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Завдання поліції щодо надання поліцейських послуг.</w:t>
      </w:r>
    </w:p>
    <w:p w:rsidR="00AB2340" w:rsidRPr="0081692C" w:rsidRDefault="00AB2340"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Правова основа діяльності поліції.</w:t>
      </w:r>
    </w:p>
    <w:p w:rsidR="009C7ABD" w:rsidRPr="0081692C" w:rsidRDefault="009C7ABD"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shd w:val="clear" w:color="auto" w:fill="FFFFFF"/>
        </w:rPr>
        <w:t>Основні повноваження Міністра внутрішніх справ України у відносинах з поліцією</w:t>
      </w:r>
      <w:r w:rsidRPr="0081692C">
        <w:rPr>
          <w:rFonts w:ascii="Times New Roman" w:hAnsi="Times New Roman"/>
          <w:sz w:val="28"/>
          <w:szCs w:val="28"/>
          <w:shd w:val="clear" w:color="auto" w:fill="FFFFFF"/>
        </w:rPr>
        <w:t>.</w:t>
      </w:r>
    </w:p>
    <w:p w:rsidR="009C7ABD" w:rsidRPr="0081692C" w:rsidRDefault="009C7ABD"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Поняття «управління».</w:t>
      </w:r>
    </w:p>
    <w:p w:rsidR="009C7ABD" w:rsidRPr="0081692C" w:rsidRDefault="009C7ABD"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Загальні функції управління.</w:t>
      </w:r>
    </w:p>
    <w:p w:rsidR="009C7ABD" w:rsidRPr="0081692C" w:rsidRDefault="009C7ABD" w:rsidP="00AB2340">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Сукупність правил поведінки певної соціальної групи, яка забезпечує моральний характер взаємовідносин у професійній діяльності</w:t>
      </w:r>
      <w:r w:rsidRPr="0081692C">
        <w:rPr>
          <w:rFonts w:ascii="Times New Roman" w:hAnsi="Times New Roman"/>
          <w:sz w:val="28"/>
          <w:szCs w:val="28"/>
        </w:rPr>
        <w:t>.</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Кодекс професійної етики</w:t>
      </w:r>
      <w:r w:rsidRPr="0081692C">
        <w:rPr>
          <w:rFonts w:ascii="Times New Roman" w:hAnsi="Times New Roman"/>
          <w:sz w:val="28"/>
          <w:szCs w:val="28"/>
        </w:rPr>
        <w:t>.</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С</w:t>
      </w:r>
      <w:r w:rsidRPr="0081692C">
        <w:rPr>
          <w:rFonts w:ascii="Times New Roman" w:hAnsi="Times New Roman"/>
          <w:sz w:val="28"/>
          <w:szCs w:val="28"/>
        </w:rPr>
        <w:t>піввідно</w:t>
      </w:r>
      <w:r w:rsidRPr="0081692C">
        <w:rPr>
          <w:rFonts w:ascii="Times New Roman" w:hAnsi="Times New Roman"/>
          <w:sz w:val="28"/>
          <w:szCs w:val="28"/>
        </w:rPr>
        <w:t>шення цінностей та принципів</w:t>
      </w:r>
      <w:r w:rsidRPr="0081692C">
        <w:rPr>
          <w:rFonts w:ascii="Times New Roman" w:hAnsi="Times New Roman"/>
          <w:sz w:val="28"/>
          <w:szCs w:val="28"/>
        </w:rPr>
        <w:t xml:space="preserve"> загальнолюдської моралі й професійної етики поліції</w:t>
      </w:r>
      <w:r w:rsidRPr="0081692C">
        <w:rPr>
          <w:rFonts w:ascii="Times New Roman" w:hAnsi="Times New Roman"/>
          <w:sz w:val="28"/>
          <w:szCs w:val="28"/>
        </w:rPr>
        <w:t>.</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Прояви користолюбства</w:t>
      </w:r>
      <w:r w:rsidRPr="0081692C">
        <w:rPr>
          <w:rFonts w:ascii="Times New Roman" w:hAnsi="Times New Roman"/>
          <w:sz w:val="28"/>
          <w:szCs w:val="28"/>
        </w:rPr>
        <w:t xml:space="preserve"> працівника поліції</w:t>
      </w:r>
      <w:r w:rsidRPr="0081692C">
        <w:rPr>
          <w:rFonts w:ascii="Times New Roman" w:hAnsi="Times New Roman"/>
          <w:sz w:val="28"/>
          <w:szCs w:val="28"/>
        </w:rPr>
        <w:t>.</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hAnsi="Times New Roman"/>
          <w:sz w:val="28"/>
          <w:szCs w:val="28"/>
        </w:rPr>
        <w:t>С</w:t>
      </w:r>
      <w:r w:rsidRPr="0081692C">
        <w:rPr>
          <w:rFonts w:ascii="Times New Roman" w:hAnsi="Times New Roman"/>
          <w:sz w:val="28"/>
          <w:szCs w:val="28"/>
        </w:rPr>
        <w:t>прияння корупції у вчинках і діях керівника</w:t>
      </w:r>
      <w:r w:rsidRPr="0081692C">
        <w:rPr>
          <w:rFonts w:ascii="Times New Roman" w:hAnsi="Times New Roman"/>
          <w:sz w:val="28"/>
          <w:szCs w:val="28"/>
        </w:rPr>
        <w:t>.</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Поняття опитування.</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Різновиди опитування за наявності проміжної ланки.</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Форми безпосереднього (особистого) опитування.</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Типи комунікативної поведінки.</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Техніки емоційної підтримки.</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Цілі ділового спілкування працівників підрозділів превентивної діяльності Національної поліції України.</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Комунікативні умови спілкування.</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Поняття спілкування.</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Різновиди спілкування залежно від кількості учасників.</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Різновиди спілкування за наявності проміжної ланки.</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 xml:space="preserve">Поняття дискримінації. </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Форми дискримінації.</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Поняття ксенофобія.</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Поняття стереотипу.</w:t>
      </w:r>
    </w:p>
    <w:p w:rsidR="009C7ABD" w:rsidRPr="0081692C" w:rsidRDefault="009C7ABD" w:rsidP="009C7ABD">
      <w:pPr>
        <w:pStyle w:val="a3"/>
        <w:numPr>
          <w:ilvl w:val="0"/>
          <w:numId w:val="10"/>
        </w:numPr>
        <w:tabs>
          <w:tab w:val="left" w:pos="1134"/>
          <w:tab w:val="left" w:pos="1276"/>
        </w:tabs>
        <w:spacing w:after="0" w:line="240" w:lineRule="auto"/>
        <w:ind w:left="0" w:firstLine="709"/>
        <w:jc w:val="both"/>
        <w:rPr>
          <w:rFonts w:ascii="Times New Roman" w:eastAsia="Times New Roman" w:hAnsi="Times New Roman"/>
          <w:sz w:val="28"/>
          <w:szCs w:val="28"/>
          <w:lang w:eastAsia="ru-RU"/>
        </w:rPr>
      </w:pPr>
      <w:r w:rsidRPr="0081692C">
        <w:rPr>
          <w:rFonts w:ascii="Times New Roman" w:eastAsia="Times New Roman" w:hAnsi="Times New Roman"/>
          <w:sz w:val="28"/>
          <w:szCs w:val="28"/>
          <w:lang w:eastAsia="ru-RU"/>
        </w:rPr>
        <w:t>Поняття толерантності.</w:t>
      </w:r>
    </w:p>
    <w:p w:rsidR="00FC364C" w:rsidRPr="0081692C" w:rsidRDefault="00FC364C" w:rsidP="00EC3F48">
      <w:pPr>
        <w:tabs>
          <w:tab w:val="left" w:pos="426"/>
          <w:tab w:val="left" w:pos="567"/>
          <w:tab w:val="left" w:pos="993"/>
          <w:tab w:val="left" w:pos="1134"/>
        </w:tabs>
        <w:spacing w:after="0" w:line="240" w:lineRule="auto"/>
        <w:ind w:firstLine="709"/>
        <w:jc w:val="both"/>
        <w:rPr>
          <w:rFonts w:ascii="Times New Roman" w:hAnsi="Times New Roman"/>
          <w:b/>
          <w:bCs/>
          <w:i/>
          <w:sz w:val="28"/>
          <w:szCs w:val="28"/>
        </w:rPr>
      </w:pPr>
    </w:p>
    <w:p w:rsidR="00FC364C" w:rsidRPr="0081692C" w:rsidRDefault="00FC364C" w:rsidP="00EC3F48">
      <w:pPr>
        <w:tabs>
          <w:tab w:val="left" w:pos="426"/>
          <w:tab w:val="left" w:pos="567"/>
          <w:tab w:val="left" w:pos="993"/>
          <w:tab w:val="left" w:pos="1134"/>
        </w:tabs>
        <w:spacing w:after="0" w:line="240" w:lineRule="auto"/>
        <w:ind w:firstLine="709"/>
        <w:jc w:val="both"/>
        <w:rPr>
          <w:rFonts w:ascii="Times New Roman" w:hAnsi="Times New Roman"/>
          <w:b/>
          <w:bCs/>
          <w:i/>
          <w:sz w:val="28"/>
          <w:szCs w:val="28"/>
        </w:rPr>
      </w:pPr>
    </w:p>
    <w:p w:rsidR="00FC364C" w:rsidRPr="0081692C" w:rsidRDefault="00FC364C" w:rsidP="00EC3F48">
      <w:pPr>
        <w:tabs>
          <w:tab w:val="left" w:pos="426"/>
          <w:tab w:val="left" w:pos="567"/>
          <w:tab w:val="left" w:pos="993"/>
          <w:tab w:val="left" w:pos="1134"/>
        </w:tabs>
        <w:spacing w:after="0" w:line="240" w:lineRule="auto"/>
        <w:ind w:firstLine="709"/>
        <w:jc w:val="both"/>
        <w:rPr>
          <w:rFonts w:ascii="Times New Roman" w:hAnsi="Times New Roman"/>
          <w:b/>
          <w:bCs/>
          <w:i/>
          <w:sz w:val="28"/>
          <w:szCs w:val="28"/>
        </w:rPr>
      </w:pPr>
    </w:p>
    <w:p w:rsidR="00FC364C" w:rsidRPr="0081692C" w:rsidRDefault="00FC364C" w:rsidP="00EC3F48">
      <w:pPr>
        <w:tabs>
          <w:tab w:val="left" w:pos="426"/>
          <w:tab w:val="left" w:pos="567"/>
          <w:tab w:val="left" w:pos="993"/>
          <w:tab w:val="left" w:pos="1134"/>
        </w:tabs>
        <w:spacing w:after="0" w:line="240" w:lineRule="auto"/>
        <w:ind w:firstLine="709"/>
        <w:jc w:val="both"/>
        <w:rPr>
          <w:rFonts w:ascii="Times New Roman" w:hAnsi="Times New Roman"/>
          <w:b/>
          <w:bCs/>
          <w:i/>
          <w:sz w:val="28"/>
          <w:szCs w:val="28"/>
        </w:rPr>
      </w:pPr>
    </w:p>
    <w:p w:rsidR="00FC364C" w:rsidRPr="0081692C" w:rsidRDefault="00FC364C" w:rsidP="00AB465F">
      <w:pPr>
        <w:tabs>
          <w:tab w:val="left" w:pos="426"/>
          <w:tab w:val="left" w:pos="567"/>
          <w:tab w:val="left" w:pos="993"/>
        </w:tabs>
        <w:spacing w:after="0" w:line="240" w:lineRule="auto"/>
        <w:rPr>
          <w:rFonts w:ascii="Times New Roman" w:hAnsi="Times New Roman"/>
          <w:b/>
          <w:i/>
          <w:sz w:val="28"/>
          <w:szCs w:val="28"/>
        </w:rPr>
      </w:pPr>
    </w:p>
    <w:sectPr w:rsidR="00FC364C" w:rsidRPr="0081692C" w:rsidSect="0022501C">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F68220"/>
    <w:lvl w:ilvl="0">
      <w:start w:val="1"/>
      <w:numFmt w:val="decimal"/>
      <w:lvlText w:val="%1."/>
      <w:lvlJc w:val="left"/>
      <w:pPr>
        <w:tabs>
          <w:tab w:val="num" w:pos="1492"/>
        </w:tabs>
        <w:ind w:left="1492" w:hanging="360"/>
      </w:pPr>
    </w:lvl>
  </w:abstractNum>
  <w:abstractNum w:abstractNumId="1" w15:restartNumberingAfterBreak="0">
    <w:nsid w:val="05814463"/>
    <w:multiLevelType w:val="hybridMultilevel"/>
    <w:tmpl w:val="9B127B24"/>
    <w:lvl w:ilvl="0" w:tplc="C326107E">
      <w:start w:val="1"/>
      <w:numFmt w:val="decimal"/>
      <w:lvlText w:val="%1."/>
      <w:lvlJc w:val="left"/>
      <w:pPr>
        <w:ind w:left="435" w:hanging="360"/>
      </w:pPr>
      <w:rPr>
        <w:rFonts w:eastAsia="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01470"/>
    <w:multiLevelType w:val="hybridMultilevel"/>
    <w:tmpl w:val="D0B2CFEA"/>
    <w:lvl w:ilvl="0" w:tplc="E4F29DFA">
      <w:start w:val="1"/>
      <w:numFmt w:val="decimal"/>
      <w:lvlText w:val="%1."/>
      <w:lvlJc w:val="left"/>
      <w:pPr>
        <w:ind w:left="10000" w:hanging="360"/>
      </w:pPr>
      <w:rPr>
        <w:rFonts w:cs="Times New Roman"/>
        <w:b w:val="0"/>
      </w:rPr>
    </w:lvl>
    <w:lvl w:ilvl="1" w:tplc="04190019">
      <w:start w:val="1"/>
      <w:numFmt w:val="lowerLetter"/>
      <w:lvlText w:val="%2."/>
      <w:lvlJc w:val="left"/>
      <w:pPr>
        <w:ind w:left="10720" w:hanging="360"/>
      </w:pPr>
      <w:rPr>
        <w:rFonts w:cs="Times New Roman"/>
      </w:rPr>
    </w:lvl>
    <w:lvl w:ilvl="2" w:tplc="0419001B">
      <w:start w:val="1"/>
      <w:numFmt w:val="lowerRoman"/>
      <w:lvlText w:val="%3."/>
      <w:lvlJc w:val="right"/>
      <w:pPr>
        <w:ind w:left="11440" w:hanging="180"/>
      </w:pPr>
      <w:rPr>
        <w:rFonts w:cs="Times New Roman"/>
      </w:rPr>
    </w:lvl>
    <w:lvl w:ilvl="3" w:tplc="0419000F">
      <w:start w:val="1"/>
      <w:numFmt w:val="decimal"/>
      <w:lvlText w:val="%4."/>
      <w:lvlJc w:val="left"/>
      <w:pPr>
        <w:ind w:left="12160" w:hanging="360"/>
      </w:pPr>
      <w:rPr>
        <w:rFonts w:cs="Times New Roman"/>
      </w:rPr>
    </w:lvl>
    <w:lvl w:ilvl="4" w:tplc="04190019">
      <w:start w:val="1"/>
      <w:numFmt w:val="lowerLetter"/>
      <w:lvlText w:val="%5."/>
      <w:lvlJc w:val="left"/>
      <w:pPr>
        <w:ind w:left="12880" w:hanging="360"/>
      </w:pPr>
      <w:rPr>
        <w:rFonts w:cs="Times New Roman"/>
      </w:rPr>
    </w:lvl>
    <w:lvl w:ilvl="5" w:tplc="0419001B">
      <w:start w:val="1"/>
      <w:numFmt w:val="lowerRoman"/>
      <w:lvlText w:val="%6."/>
      <w:lvlJc w:val="right"/>
      <w:pPr>
        <w:ind w:left="13600" w:hanging="180"/>
      </w:pPr>
      <w:rPr>
        <w:rFonts w:cs="Times New Roman"/>
      </w:rPr>
    </w:lvl>
    <w:lvl w:ilvl="6" w:tplc="0419000F">
      <w:start w:val="1"/>
      <w:numFmt w:val="decimal"/>
      <w:lvlText w:val="%7."/>
      <w:lvlJc w:val="left"/>
      <w:pPr>
        <w:ind w:left="14320" w:hanging="360"/>
      </w:pPr>
      <w:rPr>
        <w:rFonts w:cs="Times New Roman"/>
      </w:rPr>
    </w:lvl>
    <w:lvl w:ilvl="7" w:tplc="04190019">
      <w:start w:val="1"/>
      <w:numFmt w:val="lowerLetter"/>
      <w:lvlText w:val="%8."/>
      <w:lvlJc w:val="left"/>
      <w:pPr>
        <w:ind w:left="15040" w:hanging="360"/>
      </w:pPr>
      <w:rPr>
        <w:rFonts w:cs="Times New Roman"/>
      </w:rPr>
    </w:lvl>
    <w:lvl w:ilvl="8" w:tplc="0419001B">
      <w:start w:val="1"/>
      <w:numFmt w:val="lowerRoman"/>
      <w:lvlText w:val="%9."/>
      <w:lvlJc w:val="right"/>
      <w:pPr>
        <w:ind w:left="15760" w:hanging="180"/>
      </w:pPr>
      <w:rPr>
        <w:rFonts w:cs="Times New Roman"/>
      </w:rPr>
    </w:lvl>
  </w:abstractNum>
  <w:abstractNum w:abstractNumId="3" w15:restartNumberingAfterBreak="0">
    <w:nsid w:val="09F104B6"/>
    <w:multiLevelType w:val="hybridMultilevel"/>
    <w:tmpl w:val="BE22BC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19976E90"/>
    <w:multiLevelType w:val="hybridMultilevel"/>
    <w:tmpl w:val="C92A0D8A"/>
    <w:lvl w:ilvl="0" w:tplc="0419000F">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93F07"/>
    <w:multiLevelType w:val="hybridMultilevel"/>
    <w:tmpl w:val="1DFA42E8"/>
    <w:lvl w:ilvl="0" w:tplc="32D6823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2A0650"/>
    <w:multiLevelType w:val="hybridMultilevel"/>
    <w:tmpl w:val="4BC2B5E0"/>
    <w:lvl w:ilvl="0" w:tplc="38F8E810">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E872CB"/>
    <w:multiLevelType w:val="hybridMultilevel"/>
    <w:tmpl w:val="88325A64"/>
    <w:lvl w:ilvl="0" w:tplc="23B63E4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9B1F82"/>
    <w:multiLevelType w:val="hybridMultilevel"/>
    <w:tmpl w:val="5FF47A80"/>
    <w:lvl w:ilvl="0" w:tplc="18749C34">
      <w:start w:val="2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80C86"/>
    <w:multiLevelType w:val="hybridMultilevel"/>
    <w:tmpl w:val="C136A576"/>
    <w:lvl w:ilvl="0" w:tplc="17B0210A">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398328EF"/>
    <w:multiLevelType w:val="hybridMultilevel"/>
    <w:tmpl w:val="AB08D8F4"/>
    <w:lvl w:ilvl="0" w:tplc="DD4AD9B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E772041"/>
    <w:multiLevelType w:val="hybridMultilevel"/>
    <w:tmpl w:val="057CD8CE"/>
    <w:lvl w:ilvl="0" w:tplc="B6E4B9B0">
      <w:start w:val="1"/>
      <w:numFmt w:val="decimal"/>
      <w:lvlText w:val="%1."/>
      <w:lvlJc w:val="left"/>
      <w:pPr>
        <w:tabs>
          <w:tab w:val="num" w:pos="1070"/>
        </w:tabs>
        <w:ind w:left="107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5DDC0372"/>
    <w:multiLevelType w:val="hybridMultilevel"/>
    <w:tmpl w:val="1020FF76"/>
    <w:lvl w:ilvl="0" w:tplc="71867EB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9B7144"/>
    <w:multiLevelType w:val="hybridMultilevel"/>
    <w:tmpl w:val="00040924"/>
    <w:lvl w:ilvl="0" w:tplc="C326107E">
      <w:start w:val="1"/>
      <w:numFmt w:val="decimal"/>
      <w:lvlText w:val="%1."/>
      <w:lvlJc w:val="left"/>
      <w:pPr>
        <w:ind w:left="435" w:hanging="360"/>
      </w:pPr>
      <w:rPr>
        <w:rFonts w:eastAsia="Times New Roman" w:hint="default"/>
        <w:b w:val="0"/>
        <w:i w:val="0"/>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6"/>
  </w:num>
  <w:num w:numId="3">
    <w:abstractNumId w:val="8"/>
  </w:num>
  <w:num w:numId="4">
    <w:abstractNumId w:val="4"/>
  </w:num>
  <w:num w:numId="5">
    <w:abstractNumId w:val="3"/>
  </w:num>
  <w:num w:numId="6">
    <w:abstractNumId w:val="7"/>
  </w:num>
  <w:num w:numId="7">
    <w:abstractNumId w:val="12"/>
  </w:num>
  <w:num w:numId="8">
    <w:abstractNumId w:val="10"/>
  </w:num>
  <w:num w:numId="9">
    <w:abstractNumId w:val="13"/>
  </w:num>
  <w:num w:numId="10">
    <w:abstractNumId w:val="1"/>
  </w:num>
  <w:num w:numId="11">
    <w:abstractNumId w:val="5"/>
  </w:num>
  <w:num w:numId="12">
    <w:abstractNumId w:val="9"/>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4C"/>
    <w:rsid w:val="001934EC"/>
    <w:rsid w:val="001B4F9F"/>
    <w:rsid w:val="002108EC"/>
    <w:rsid w:val="0022501C"/>
    <w:rsid w:val="003F2B6E"/>
    <w:rsid w:val="00547A75"/>
    <w:rsid w:val="005A5BF6"/>
    <w:rsid w:val="006040D1"/>
    <w:rsid w:val="0065106E"/>
    <w:rsid w:val="00693822"/>
    <w:rsid w:val="006B5D38"/>
    <w:rsid w:val="007E6B45"/>
    <w:rsid w:val="0081692C"/>
    <w:rsid w:val="009C7ABD"/>
    <w:rsid w:val="00AB2340"/>
    <w:rsid w:val="00AB465F"/>
    <w:rsid w:val="00B36405"/>
    <w:rsid w:val="00B61CDA"/>
    <w:rsid w:val="00C46695"/>
    <w:rsid w:val="00CA2869"/>
    <w:rsid w:val="00CC07BE"/>
    <w:rsid w:val="00E51789"/>
    <w:rsid w:val="00EC3F48"/>
    <w:rsid w:val="00F027A0"/>
    <w:rsid w:val="00FC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2B02"/>
  <w15:chartTrackingRefBased/>
  <w15:docId w15:val="{4B35EF96-6389-49FC-BC9B-686CC916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64C"/>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64C"/>
    <w:pPr>
      <w:ind w:left="720"/>
      <w:contextualSpacing/>
    </w:pPr>
  </w:style>
  <w:style w:type="paragraph" w:styleId="a4">
    <w:name w:val="Normal (Web)"/>
    <w:aliases w:val="Обычный (Web),Обычный (веб)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
    <w:basedOn w:val="a"/>
    <w:link w:val="1"/>
    <w:uiPriority w:val="99"/>
    <w:unhideWhenUsed/>
    <w:qFormat/>
    <w:rsid w:val="00FC364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
    <w:name w:val="Обычный (веб) Знак1"/>
    <w:aliases w:val="Обычный (Web) Знак,Обычный (веб) Знак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Знак1 Знак Знак1"/>
    <w:link w:val="a4"/>
    <w:uiPriority w:val="99"/>
    <w:locked/>
    <w:rsid w:val="00FC364C"/>
    <w:rPr>
      <w:rFonts w:ascii="Times New Roman" w:eastAsia="Times New Roman" w:hAnsi="Times New Roman" w:cs="Times New Roman"/>
      <w:sz w:val="24"/>
      <w:szCs w:val="24"/>
      <w:lang w:val="ru-RU" w:eastAsia="ru-RU"/>
    </w:rPr>
  </w:style>
  <w:style w:type="paragraph" w:styleId="a5">
    <w:name w:val="Balloon Text"/>
    <w:basedOn w:val="a"/>
    <w:link w:val="a6"/>
    <w:semiHidden/>
    <w:unhideWhenUsed/>
    <w:rsid w:val="00FC364C"/>
    <w:pPr>
      <w:spacing w:after="0" w:line="240" w:lineRule="auto"/>
    </w:pPr>
    <w:rPr>
      <w:rFonts w:ascii="Segoe UI" w:eastAsiaTheme="minorHAnsi" w:hAnsi="Segoe UI" w:cs="Segoe UI"/>
      <w:sz w:val="18"/>
      <w:szCs w:val="18"/>
    </w:rPr>
  </w:style>
  <w:style w:type="character" w:customStyle="1" w:styleId="a6">
    <w:name w:val="Текст выноски Знак"/>
    <w:basedOn w:val="a0"/>
    <w:link w:val="a5"/>
    <w:semiHidden/>
    <w:rsid w:val="00FC364C"/>
    <w:rPr>
      <w:rFonts w:ascii="Segoe UI" w:hAnsi="Segoe UI" w:cs="Segoe UI"/>
      <w:sz w:val="18"/>
      <w:szCs w:val="18"/>
      <w:lang w:val="uk-UA"/>
    </w:rPr>
  </w:style>
  <w:style w:type="character" w:customStyle="1" w:styleId="rvts9">
    <w:name w:val="rvts9"/>
    <w:basedOn w:val="a0"/>
    <w:rsid w:val="00FC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Інститут післядипломної освіти НАВС</cp:lastModifiedBy>
  <cp:revision>4</cp:revision>
  <dcterms:created xsi:type="dcterms:W3CDTF">2018-09-25T11:40:00Z</dcterms:created>
  <dcterms:modified xsi:type="dcterms:W3CDTF">2018-09-25T12:28:00Z</dcterms:modified>
</cp:coreProperties>
</file>