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F1" w:rsidRPr="00144F4B" w:rsidRDefault="005E5CF1" w:rsidP="005E5CF1">
      <w:pPr>
        <w:ind w:firstLine="0"/>
        <w:jc w:val="center"/>
        <w:rPr>
          <w:b/>
          <w:szCs w:val="28"/>
        </w:rPr>
      </w:pPr>
      <w:bookmarkStart w:id="0" w:name="_GoBack"/>
      <w:bookmarkEnd w:id="0"/>
      <w:r w:rsidRPr="00144F4B">
        <w:rPr>
          <w:b/>
          <w:szCs w:val="28"/>
        </w:rPr>
        <w:t>ПЕРЕЛІК ПИТАНЬ ДО КОМПЛЕКСНОГО ПІДСУМКОВОГО ЕКЗАМЕНУ</w:t>
      </w:r>
    </w:p>
    <w:p w:rsidR="005E5CF1" w:rsidRPr="00B93C76" w:rsidRDefault="005E5CF1" w:rsidP="005E5CF1">
      <w:pPr>
        <w:pStyle w:val="Style4"/>
        <w:jc w:val="center"/>
        <w:rPr>
          <w:b/>
          <w:sz w:val="28"/>
          <w:szCs w:val="28"/>
        </w:rPr>
      </w:pPr>
      <w:r w:rsidRPr="00144F4B">
        <w:rPr>
          <w:b/>
          <w:sz w:val="28"/>
          <w:szCs w:val="28"/>
        </w:rPr>
        <w:t xml:space="preserve">з підвищення кваліфікації </w:t>
      </w:r>
      <w:r w:rsidR="009F0136" w:rsidRPr="00144F4B">
        <w:rPr>
          <w:b/>
          <w:sz w:val="28"/>
          <w:szCs w:val="28"/>
        </w:rPr>
        <w:t>поліцейських підрозділів оперативної служби Національної поліції України</w:t>
      </w:r>
    </w:p>
    <w:p w:rsidR="005E5CF1" w:rsidRPr="00B93C76" w:rsidRDefault="005E5CF1" w:rsidP="005E5CF1">
      <w:pPr>
        <w:pStyle w:val="Style4"/>
        <w:jc w:val="center"/>
        <w:rPr>
          <w:b/>
          <w:sz w:val="28"/>
          <w:szCs w:val="28"/>
        </w:rPr>
      </w:pP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Термін «близькі особи» відповідно до Закону України «Про запобігання корупції».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Поняття приватного інтересу.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Реальний конфлікт інтересів.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Обмеження щодо одержання подарунків відповідно до Закону України   «Про запобігання корупції».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 xml:space="preserve">Обмеження сумісництва та суміщення з іншими видами діяльності для поліцейського. 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Обмеження спільної роботи близьких осіб відповідно до Закону України «Про запобігання корупції».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Дії поліцейського у разі надходження пропозиції щодо неправомірної вигоди або подарунка.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>Дії поліцейського, який виявив у своєму службовому приміщенні чи отримав майно, що може бути неправомірною вигодою, або подарунком.</w:t>
      </w:r>
    </w:p>
    <w:p w:rsidR="007463F6" w:rsidRPr="00B93C76" w:rsidRDefault="007463F6" w:rsidP="007463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szCs w:val="28"/>
        </w:rPr>
      </w:pPr>
      <w:r w:rsidRPr="00B93C76">
        <w:rPr>
          <w:szCs w:val="28"/>
        </w:rPr>
        <w:t xml:space="preserve"> Додаткові заходи здійснення фінансового контролю</w:t>
      </w:r>
      <w:r w:rsidRPr="00B93C76">
        <w:t xml:space="preserve"> </w:t>
      </w:r>
      <w:r w:rsidRPr="00B93C76">
        <w:rPr>
          <w:szCs w:val="28"/>
        </w:rPr>
        <w:t>відповідно до Закону України «Про запобігання корупції».</w:t>
      </w:r>
    </w:p>
    <w:p w:rsidR="004E0230" w:rsidRPr="00B93C76" w:rsidRDefault="007463F6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contextualSpacing w:val="0"/>
        <w:rPr>
          <w:bCs/>
          <w:szCs w:val="28"/>
        </w:rPr>
      </w:pPr>
      <w:r w:rsidRPr="00B93C76">
        <w:rPr>
          <w:szCs w:val="28"/>
        </w:rPr>
        <w:t xml:space="preserve"> </w:t>
      </w:r>
      <w:r w:rsidR="004E0230" w:rsidRPr="00B93C76">
        <w:rPr>
          <w:bCs/>
          <w:szCs w:val="28"/>
        </w:rPr>
        <w:t>Інтерпретація прав людини.</w:t>
      </w:r>
    </w:p>
    <w:p w:rsidR="004E0230" w:rsidRPr="00B93C76" w:rsidRDefault="004E0230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B93C76">
        <w:rPr>
          <w:bCs/>
          <w:szCs w:val="28"/>
        </w:rPr>
        <w:t xml:space="preserve"> Розуміння свободи людини.</w:t>
      </w:r>
    </w:p>
    <w:p w:rsidR="004E0230" w:rsidRPr="00B93C76" w:rsidRDefault="004E0230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B93C76">
        <w:rPr>
          <w:bCs/>
          <w:szCs w:val="28"/>
        </w:rPr>
        <w:t xml:space="preserve"> Види прав і свобод людини і громадянина за черговістю включення їх до конституцій та міжнародно-правових документів.</w:t>
      </w:r>
    </w:p>
    <w:p w:rsidR="004E0230" w:rsidRPr="00B93C76" w:rsidRDefault="004E0230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B93C76">
        <w:rPr>
          <w:bCs/>
          <w:szCs w:val="28"/>
        </w:rPr>
        <w:t xml:space="preserve"> 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8249EB" w:rsidRPr="00B93C76" w:rsidRDefault="008249EB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B93C76">
        <w:rPr>
          <w:b/>
        </w:rPr>
        <w:t xml:space="preserve"> </w:t>
      </w:r>
      <w:r w:rsidRPr="00B93C76">
        <w:t>Права людини і основоположні свободи, що захищаються Конвенцією про захист прав людини і основоположних свобод, не підлягають ніяким обмеженням і не допускають ніяких винятків.</w:t>
      </w:r>
    </w:p>
    <w:p w:rsidR="008249EB" w:rsidRPr="00B93C76" w:rsidRDefault="008249EB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B93C76">
        <w:rPr>
          <w:b/>
        </w:rPr>
        <w:t xml:space="preserve"> </w:t>
      </w:r>
      <w:r w:rsidRPr="00B93C76">
        <w:t>Право на життя відповідно до ст. 2 Конвенції про захист прав людини та основоположних свобод 1950 року.</w:t>
      </w:r>
    </w:p>
    <w:p w:rsidR="004E0230" w:rsidRPr="00B93C76" w:rsidRDefault="004E0230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B93C76">
        <w:rPr>
          <w:szCs w:val="28"/>
        </w:rPr>
        <w:t xml:space="preserve"> Види поводження, заборонені ст. 3 Конвенції про захист прав людини і основоположних свобод.</w:t>
      </w:r>
    </w:p>
    <w:p w:rsidR="004E0230" w:rsidRPr="00B93C76" w:rsidRDefault="004E0230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8"/>
        </w:rPr>
      </w:pPr>
      <w:r w:rsidRPr="00B93C76">
        <w:rPr>
          <w:szCs w:val="28"/>
        </w:rPr>
        <w:t xml:space="preserve"> </w:t>
      </w:r>
      <w:r w:rsidR="008249EB" w:rsidRPr="00B93C76">
        <w:t>Право громадянина України на звернення до міжнародних судових установ для захисту своїх прав</w:t>
      </w:r>
      <w:r w:rsidRPr="00B93C76">
        <w:rPr>
          <w:szCs w:val="28"/>
        </w:rPr>
        <w:t>.</w:t>
      </w:r>
    </w:p>
    <w:p w:rsidR="004E0230" w:rsidRPr="00B93C76" w:rsidRDefault="008249EB" w:rsidP="004E023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B93C76">
        <w:rPr>
          <w:b/>
          <w:bCs/>
        </w:rPr>
        <w:t xml:space="preserve"> </w:t>
      </w:r>
      <w:r w:rsidR="004E0230" w:rsidRPr="00B93C76">
        <w:rPr>
          <w:szCs w:val="28"/>
        </w:rPr>
        <w:t xml:space="preserve">Зміст права на свободу та недоторканність згідно </w:t>
      </w:r>
      <w:r w:rsidRPr="00B93C76">
        <w:rPr>
          <w:szCs w:val="28"/>
        </w:rPr>
        <w:t xml:space="preserve">зі </w:t>
      </w:r>
      <w:r w:rsidR="004E0230" w:rsidRPr="00B93C76">
        <w:rPr>
          <w:szCs w:val="28"/>
        </w:rPr>
        <w:t>ст. 5 Конвенції про захист прав людини і основоположних свобод.</w:t>
      </w:r>
    </w:p>
    <w:p w:rsidR="004E0230" w:rsidRPr="00B93C76" w:rsidRDefault="004E0230" w:rsidP="008249E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</w:rPr>
      </w:pPr>
      <w:r w:rsidRPr="00B93C76">
        <w:rPr>
          <w:szCs w:val="28"/>
        </w:rPr>
        <w:t xml:space="preserve"> Право на таємницю листування, телефонних розмов, телеграфної та іншої кореспонденції</w:t>
      </w:r>
      <w:r w:rsidRPr="00B93C76">
        <w:rPr>
          <w:bCs/>
          <w:szCs w:val="28"/>
        </w:rPr>
        <w:t xml:space="preserve"> та підстави його обмеження згідно Конституції України.</w:t>
      </w:r>
    </w:p>
    <w:p w:rsidR="00AC7BEB" w:rsidRPr="00B93C76" w:rsidRDefault="00AC7BEB" w:rsidP="00AC7BEB">
      <w:pPr>
        <w:pStyle w:val="rvps2"/>
        <w:numPr>
          <w:ilvl w:val="0"/>
          <w:numId w:val="3"/>
        </w:numPr>
        <w:shd w:val="clear" w:color="auto" w:fill="FFFFFF"/>
        <w:tabs>
          <w:tab w:val="clear" w:pos="1070"/>
          <w:tab w:val="num" w:pos="710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93C76">
        <w:rPr>
          <w:sz w:val="28"/>
          <w:szCs w:val="28"/>
          <w:lang w:val="uk-UA"/>
        </w:rPr>
        <w:t>Об’єктиви сторона злочину передбаченого ч. 2 ст. 110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lastRenderedPageBreak/>
        <w:t>Ознаки об’єктивної сторони складу злочину, передбаченого ст. 161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Потерпіла особа від злочину, передбаченого ст. 161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Кваліфікуючі ознаки складу злочину, передбачені ч. 2 ст. 161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Особливо кваліфікуючі ознаки складу злочину, передбачені ч. 3 ст. 161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Кваліфікуючі ознаки умисного вбивства, вчиненого з мотивів расової, національної чи релігійної нетерпимості.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Кваліфікуючі ознаки умисних тяжких тілесних ушкоджень, вчинених з мотивів расової, національної чи релігійної нетерпимості.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Форми об’єктивної сторони злочину, передбаченого ч. 1 ст. 149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Зміст мети експлуатації людини у складі злочину, передбаченого</w:t>
      </w:r>
      <w:r w:rsidR="00B93C76" w:rsidRPr="00B93C76">
        <w:rPr>
          <w:szCs w:val="28"/>
        </w:rPr>
        <w:t xml:space="preserve"> ч. 1 ст. </w:t>
      </w:r>
      <w:r w:rsidRPr="00B93C76">
        <w:rPr>
          <w:szCs w:val="28"/>
        </w:rPr>
        <w:t>149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Спосіб вчинення злочину, передбаченого ч. 1 ст. 149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Зміст уразливого стану особи у складі злочину, передбаченого ч. 1 ст. 149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Суб’єкт т</w:t>
      </w:r>
      <w:r w:rsidRPr="00B93C76">
        <w:rPr>
          <w:color w:val="000000"/>
          <w:szCs w:val="28"/>
          <w:shd w:val="clear" w:color="auto" w:fill="FFFFFF"/>
        </w:rPr>
        <w:t>оргівлі людьми або іншої незаконної угоди</w:t>
      </w:r>
      <w:r w:rsidR="00B93C76" w:rsidRPr="00B93C76">
        <w:rPr>
          <w:color w:val="000000"/>
          <w:szCs w:val="28"/>
          <w:shd w:val="clear" w:color="auto" w:fill="FFFFFF"/>
        </w:rPr>
        <w:t xml:space="preserve"> щодо людини (ст. </w:t>
      </w:r>
      <w:r w:rsidRPr="00B93C76">
        <w:rPr>
          <w:color w:val="000000"/>
          <w:szCs w:val="28"/>
          <w:shd w:val="clear" w:color="auto" w:fill="FFFFFF"/>
        </w:rPr>
        <w:t>149 КК</w:t>
      </w:r>
      <w:r w:rsidRPr="00B93C76">
        <w:rPr>
          <w:szCs w:val="28"/>
        </w:rPr>
        <w:t>).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Поняття неправомірної вигоди при вчиненні корупційних злочинів.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Істотна шкода (у ст.ст. 364, 364-1, 365, 365-2, 367 КК України) та тяжкі наслідки (у ст.ст. 364–367 КК України).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Зміст суб’єктивної сторони складу злочину, передбаченого ст. 364 КК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B93C76">
        <w:rPr>
          <w:szCs w:val="28"/>
        </w:rPr>
        <w:t>Зміст пропозиції та обіцянки неправомірної вигоди.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277220">
        <w:rPr>
          <w:szCs w:val="28"/>
        </w:rPr>
        <w:t>Визначте корупційні злочини за законодавством України.</w:t>
      </w:r>
    </w:p>
    <w:p w:rsidR="00AC7BEB" w:rsidRPr="00B93C76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277220">
        <w:rPr>
          <w:szCs w:val="28"/>
        </w:rPr>
        <w:t>Поняття службової особи відповідно до законодавства України.</w:t>
      </w:r>
    </w:p>
    <w:p w:rsidR="00AC7BEB" w:rsidRPr="00277220" w:rsidRDefault="00AC7BEB" w:rsidP="00AC7BE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277220">
        <w:rPr>
          <w:szCs w:val="28"/>
        </w:rPr>
        <w:t>Суб’єктивна сторона складу злочину зловживання владою або службовим становищем.</w:t>
      </w:r>
    </w:p>
    <w:p w:rsidR="001C23AB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Характеристика та момент початку кримінальних процесуальних відносини.</w:t>
      </w:r>
    </w:p>
    <w:p w:rsidR="001C23AB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Загальна характеристика процесуальних дій оперативного співробітника у кримінальному провадженні.</w:t>
      </w:r>
    </w:p>
    <w:p w:rsidR="001C23AB" w:rsidRPr="009B282E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Повноваження оперативного співробітника під час виконання доручень слідчого.</w:t>
      </w:r>
    </w:p>
    <w:p w:rsidR="001C23AB" w:rsidRPr="009B282E" w:rsidRDefault="001C23AB" w:rsidP="001C23AB">
      <w:pPr>
        <w:pStyle w:val="a3"/>
        <w:numPr>
          <w:ilvl w:val="0"/>
          <w:numId w:val="3"/>
        </w:numPr>
        <w:shd w:val="clear" w:color="auto" w:fill="FFFFFF"/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Поняття доказів у кримінальному процесі.</w:t>
      </w:r>
    </w:p>
    <w:p w:rsidR="001C23AB" w:rsidRPr="009B282E" w:rsidRDefault="001C23AB" w:rsidP="001C23AB">
      <w:pPr>
        <w:pStyle w:val="a3"/>
        <w:numPr>
          <w:ilvl w:val="0"/>
          <w:numId w:val="3"/>
        </w:numPr>
        <w:shd w:val="clear" w:color="auto" w:fill="FFFFFF"/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Поняття та значення </w:t>
      </w:r>
      <w:r w:rsidRPr="009B282E">
        <w:rPr>
          <w:szCs w:val="28"/>
        </w:rPr>
        <w:t>процесуальн</w:t>
      </w:r>
      <w:r>
        <w:rPr>
          <w:szCs w:val="28"/>
        </w:rPr>
        <w:t>их</w:t>
      </w:r>
      <w:r w:rsidRPr="009B282E">
        <w:rPr>
          <w:szCs w:val="28"/>
        </w:rPr>
        <w:t xml:space="preserve"> джерел доказів у кримінальному провадженні.</w:t>
      </w:r>
    </w:p>
    <w:p w:rsidR="001C23AB" w:rsidRPr="008065C8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jc w:val="left"/>
        <w:rPr>
          <w:szCs w:val="28"/>
        </w:rPr>
      </w:pPr>
      <w:r w:rsidRPr="008065C8">
        <w:rPr>
          <w:szCs w:val="28"/>
        </w:rPr>
        <w:t>Основні та додаткові складові елементи вибухових пристроїв.</w:t>
      </w:r>
    </w:p>
    <w:p w:rsidR="001C23AB" w:rsidRPr="008065C8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jc w:val="left"/>
        <w:rPr>
          <w:szCs w:val="28"/>
        </w:rPr>
      </w:pPr>
      <w:r w:rsidRPr="008065C8">
        <w:rPr>
          <w:szCs w:val="28"/>
        </w:rPr>
        <w:t>Поняття саморобного вибухового пристрою.</w:t>
      </w:r>
    </w:p>
    <w:p w:rsidR="001C23AB" w:rsidRPr="008065C8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jc w:val="left"/>
        <w:rPr>
          <w:szCs w:val="28"/>
        </w:rPr>
      </w:pPr>
      <w:r w:rsidRPr="008065C8">
        <w:rPr>
          <w:szCs w:val="28"/>
        </w:rPr>
        <w:lastRenderedPageBreak/>
        <w:t>Поняття вторинних вибухових пристроїв.</w:t>
      </w:r>
    </w:p>
    <w:p w:rsidR="001C23AB" w:rsidRPr="008065C8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jc w:val="left"/>
        <w:rPr>
          <w:szCs w:val="28"/>
        </w:rPr>
      </w:pPr>
      <w:r w:rsidRPr="008065C8">
        <w:rPr>
          <w:color w:val="000000"/>
          <w:szCs w:val="28"/>
        </w:rPr>
        <w:t>Особи, які найчастіше є переносниками вибухових пристроїв.</w:t>
      </w:r>
    </w:p>
    <w:p w:rsidR="001C23AB" w:rsidRPr="008065C8" w:rsidRDefault="001C23AB" w:rsidP="001C23AB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10"/>
        <w:jc w:val="left"/>
        <w:rPr>
          <w:szCs w:val="28"/>
        </w:rPr>
      </w:pPr>
      <w:r w:rsidRPr="008065C8">
        <w:rPr>
          <w:szCs w:val="28"/>
        </w:rPr>
        <w:t>Демаскуючиючі ознаки вибухових пристроїв.</w:t>
      </w:r>
    </w:p>
    <w:p w:rsidR="001C23AB" w:rsidRPr="006604B4" w:rsidRDefault="00120783" w:rsidP="001C23AB">
      <w:pPr>
        <w:pStyle w:val="a4"/>
        <w:numPr>
          <w:ilvl w:val="0"/>
          <w:numId w:val="3"/>
        </w:numPr>
        <w:tabs>
          <w:tab w:val="clear" w:pos="1070"/>
          <w:tab w:val="num" w:pos="710"/>
          <w:tab w:val="left" w:pos="1100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23AB" w:rsidRPr="006604B4">
        <w:rPr>
          <w:sz w:val="28"/>
          <w:szCs w:val="28"/>
          <w:lang w:val="uk-UA"/>
        </w:rPr>
        <w:t>Криміналістична характеристика злочинів проти життя та здоров’я особи</w:t>
      </w:r>
      <w:r w:rsidR="001C23AB">
        <w:rPr>
          <w:sz w:val="28"/>
          <w:szCs w:val="28"/>
          <w:lang w:val="uk-UA"/>
        </w:rPr>
        <w:t xml:space="preserve"> </w:t>
      </w:r>
      <w:r w:rsidR="001C23AB" w:rsidRPr="00787CFA">
        <w:rPr>
          <w:sz w:val="28"/>
          <w:lang w:val="uk-UA"/>
        </w:rPr>
        <w:t>вчинених неповнолітніми та відносно неповнолітніх</w:t>
      </w:r>
      <w:r w:rsidR="001C23AB" w:rsidRPr="006604B4">
        <w:rPr>
          <w:sz w:val="28"/>
          <w:szCs w:val="28"/>
          <w:lang w:val="uk-UA"/>
        </w:rPr>
        <w:t>.</w:t>
      </w:r>
    </w:p>
    <w:p w:rsidR="001C23AB" w:rsidRPr="006604B4" w:rsidRDefault="00120783" w:rsidP="001C23AB">
      <w:pPr>
        <w:pStyle w:val="a4"/>
        <w:numPr>
          <w:ilvl w:val="0"/>
          <w:numId w:val="3"/>
        </w:numPr>
        <w:tabs>
          <w:tab w:val="clear" w:pos="1070"/>
          <w:tab w:val="num" w:pos="710"/>
          <w:tab w:val="left" w:pos="1100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23AB" w:rsidRPr="006604B4">
        <w:rPr>
          <w:sz w:val="28"/>
          <w:szCs w:val="28"/>
          <w:lang w:val="uk-UA"/>
        </w:rPr>
        <w:t xml:space="preserve">Обставини, що підлягають встановленню під час розслідування злочинів проти життя та здоров’я особи </w:t>
      </w:r>
      <w:r w:rsidR="001C23AB" w:rsidRPr="00787CFA">
        <w:rPr>
          <w:sz w:val="28"/>
          <w:lang w:val="uk-UA"/>
        </w:rPr>
        <w:t>вчинених неповнолітніми та відносно неповнолітніх</w:t>
      </w:r>
      <w:r w:rsidR="001C23AB" w:rsidRPr="006604B4">
        <w:rPr>
          <w:sz w:val="28"/>
          <w:szCs w:val="28"/>
          <w:lang w:val="uk-UA"/>
        </w:rPr>
        <w:t>.</w:t>
      </w:r>
    </w:p>
    <w:p w:rsidR="001C23AB" w:rsidRPr="006604B4" w:rsidRDefault="00120783" w:rsidP="001C23AB">
      <w:pPr>
        <w:pStyle w:val="a4"/>
        <w:numPr>
          <w:ilvl w:val="0"/>
          <w:numId w:val="3"/>
        </w:numPr>
        <w:tabs>
          <w:tab w:val="clear" w:pos="1070"/>
          <w:tab w:val="num" w:pos="710"/>
          <w:tab w:val="left" w:pos="1100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23AB" w:rsidRPr="006604B4">
        <w:rPr>
          <w:sz w:val="28"/>
          <w:szCs w:val="28"/>
          <w:lang w:val="uk-UA"/>
        </w:rPr>
        <w:t>Особливості тактики проведення початкових слідчих (розшукових) дій:</w:t>
      </w:r>
      <w:r>
        <w:rPr>
          <w:sz w:val="28"/>
          <w:szCs w:val="28"/>
          <w:lang w:val="uk-UA"/>
        </w:rPr>
        <w:t xml:space="preserve"> огляду місця події, освідування, </w:t>
      </w:r>
      <w:r w:rsidR="001C23AB">
        <w:rPr>
          <w:sz w:val="28"/>
          <w:szCs w:val="28"/>
          <w:lang w:val="uk-UA"/>
        </w:rPr>
        <w:t>допиту підозрюваного і свідків тощо</w:t>
      </w:r>
      <w:r w:rsidR="001C23AB" w:rsidRPr="006604B4">
        <w:rPr>
          <w:sz w:val="28"/>
          <w:szCs w:val="28"/>
          <w:lang w:val="uk-UA"/>
        </w:rPr>
        <w:t>.</w:t>
      </w:r>
    </w:p>
    <w:p w:rsidR="001C23AB" w:rsidRDefault="00120783" w:rsidP="001C23AB">
      <w:pPr>
        <w:pStyle w:val="a4"/>
        <w:numPr>
          <w:ilvl w:val="0"/>
          <w:numId w:val="3"/>
        </w:numPr>
        <w:tabs>
          <w:tab w:val="clear" w:pos="1070"/>
          <w:tab w:val="num" w:pos="710"/>
          <w:tab w:val="left" w:pos="1100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</w:t>
      </w:r>
      <w:r w:rsidR="001C23AB" w:rsidRPr="006604B4">
        <w:rPr>
          <w:spacing w:val="-4"/>
          <w:sz w:val="28"/>
          <w:szCs w:val="28"/>
          <w:lang w:val="uk-UA"/>
        </w:rPr>
        <w:t>П</w:t>
      </w:r>
      <w:r w:rsidR="001C23AB" w:rsidRPr="006604B4">
        <w:rPr>
          <w:sz w:val="28"/>
          <w:szCs w:val="28"/>
          <w:lang w:val="uk-UA"/>
        </w:rPr>
        <w:t>ланування та проведення подальших слідчих (розшукових) дій: обшуку, одночасного допиту двох чи більше вже допитаних осіб, слідчого експерименту.</w:t>
      </w:r>
    </w:p>
    <w:p w:rsidR="001C23AB" w:rsidRPr="00515B96" w:rsidRDefault="00120783" w:rsidP="001C23AB">
      <w:pPr>
        <w:pStyle w:val="a4"/>
        <w:numPr>
          <w:ilvl w:val="0"/>
          <w:numId w:val="3"/>
        </w:numPr>
        <w:tabs>
          <w:tab w:val="clear" w:pos="1070"/>
          <w:tab w:val="num" w:pos="710"/>
          <w:tab w:val="left" w:pos="1100"/>
          <w:tab w:val="left" w:pos="1134"/>
        </w:tabs>
        <w:spacing w:before="0" w:beforeAutospacing="0" w:after="0" w:afterAutospacing="0"/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23AB" w:rsidRPr="00515B96">
        <w:rPr>
          <w:sz w:val="28"/>
          <w:szCs w:val="28"/>
          <w:lang w:val="uk-UA"/>
        </w:rPr>
        <w:t xml:space="preserve">Використання спеціальних знань під час розслідування злочинів проти життя та здоров’я особи </w:t>
      </w:r>
      <w:r w:rsidR="001C23AB" w:rsidRPr="00515B96">
        <w:rPr>
          <w:sz w:val="28"/>
          <w:lang w:val="uk-UA"/>
        </w:rPr>
        <w:t>вчинених неповнолітніми та відносно неповнолітніх</w:t>
      </w:r>
      <w:r>
        <w:rPr>
          <w:sz w:val="28"/>
          <w:lang w:val="uk-UA"/>
        </w:rPr>
        <w:t>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Повноваження підрозділів оперативної служби Національної поліції України.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Основні критерії оцінки діяльності підрозділів оперативної служби.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Види оперативно-розшукових заходів, до яких залучаються сили підрозділу оперативної служби.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проведення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проведення оперативно-розшукових заходів.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Строки дії ухвали слідчого судді про дозвіл на проведення негласної слідчої (розшукової) дії.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Правові підстави залучення сил та засобів підрозділів оперативної служби в рамках ведення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Правові підстави залучення сил та засобів підрозділів оперативної служби в кримінальному провадженні.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Роль слідчого судді у здійсненні оперативними підрозділами оперативно-розшукової діяльності.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здійснення візуального спостереження за особою, річчю та місцем.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Проведення негласної слідчої (розшукової) дії до постановлення ухвали слідчого судді.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Вимоги до постанови слідчого, прокурора про проведення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Фіксація ходу і результатів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Заходи щодо захисту інформації, отриманої в результаті проведення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Використання результатів негласних слідчих (розшукових) дій у досудовому розслідуванні та доказуванні.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Засоби, що використовуються під час проведення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lastRenderedPageBreak/>
        <w:t xml:space="preserve"> Здійснення візуального спостереження без одержання ухвали слідчого судді.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Використання сил та засобів підрозділів оперативної служби для здійснення візуального спостереження за особою оголошеною в розшук.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Права оперативних підрозділів при проведенні візуального спостереження за особою, річчю або місцем.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Оформлення результатів візуального спостереження за особою, річчю та місцем для використання у кримінальному провадженні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Оформлення результатів візуального спостереження за особою, річчю та місцем для використання у межах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Правові підстави здійснення профілактично-пошукового заходу.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Підготовка та організація здійснення профілактично-пошукового заходу.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Напрямки здійснення профілактично-пошукових заходів.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bCs/>
          <w:szCs w:val="28"/>
        </w:rPr>
        <w:t>Органи, які сприяють здійсненню оперативно-розшукової діяльності, згідно Закону України «Про оперативно-розшукову діяльність».</w:t>
      </w:r>
    </w:p>
    <w:p w:rsidR="003C1388" w:rsidRPr="006129F4" w:rsidRDefault="003C1388" w:rsidP="003C1388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rFonts w:eastAsia="Times New Roman"/>
          <w:bCs/>
          <w:szCs w:val="28"/>
        </w:rPr>
      </w:pPr>
      <w:r w:rsidRPr="006129F4">
        <w:rPr>
          <w:rFonts w:eastAsia="Times New Roman"/>
          <w:bCs/>
          <w:szCs w:val="28"/>
          <w:lang w:eastAsia="ar-SA"/>
        </w:rPr>
        <w:t xml:space="preserve">Підрозділи, які здійснюють </w:t>
      </w:r>
      <w:r w:rsidRPr="006129F4">
        <w:rPr>
          <w:rFonts w:eastAsia="Times New Roman"/>
          <w:bCs/>
          <w:szCs w:val="28"/>
        </w:rPr>
        <w:t>оперативно-розшукову діяльність.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Отримання оперативної інформації.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Види оперативно-розшукових справ.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заведення оперативно-розшукових справ.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Строки ведення оперативно-розшукових справ.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Використання результатів оперативно-розшукової діяльності.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призупинення ведення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Підстави закриття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bCs/>
          <w:szCs w:val="28"/>
        </w:rPr>
        <w:t>Документальне оформлення закриття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Здійснення перевірки інформації стосовно особи без заведення оперативно-розшукової справи.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Права працівників, що здійснюють оперативно-розшукову діяльність.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color w:val="000000"/>
          <w:szCs w:val="28"/>
        </w:rPr>
        <w:t>Повноваження слідчого, прокурора в проведенні негласних слідчих (розшукових) дій.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Обов’язки, що накладаються на осіб, що здійснюють оперативно-розшукову діяльність.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bCs/>
          <w:szCs w:val="28"/>
        </w:rPr>
      </w:pPr>
      <w:r w:rsidRPr="006129F4">
        <w:rPr>
          <w:bCs/>
          <w:szCs w:val="28"/>
        </w:rPr>
        <w:t>Громадяни України та інші особи, які мають право у встановленому законом порядку одержати інформацію від органів, на які покладено здійснення ОРД.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t>Документи, що складаються в процесі здійснення оперативно-розшукової діяльності.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bCs/>
          <w:szCs w:val="28"/>
        </w:rPr>
        <w:t>Нагляд за проведенням оперативно-розшукової діяльності в підрозділах Національної поліції України.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bCs/>
          <w:szCs w:val="28"/>
        </w:rPr>
        <w:t>Порядок використання технічних засобів, що застосовувалися під час зняття інформації з транспортних телекомунікаційних мереж та електронних інформаційних систем.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</w:tabs>
        <w:ind w:left="0" w:firstLine="709"/>
        <w:rPr>
          <w:szCs w:val="28"/>
        </w:rPr>
      </w:pPr>
      <w:r w:rsidRPr="006129F4">
        <w:rPr>
          <w:szCs w:val="28"/>
        </w:rPr>
        <w:lastRenderedPageBreak/>
        <w:t>Фіксація та збереження інформації, отриманої з телекомунікаційних мереж за допомогою технічних засобів та в результаті зняття відомостей з електронних інформаційних систем.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szCs w:val="28"/>
        </w:rPr>
        <w:t>Дослідження інформації, отриманої при застосуванні технічних засобів.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bCs/>
          <w:szCs w:val="28"/>
        </w:rPr>
        <w:t>Виготовлення, утворення несправжніх</w:t>
      </w:r>
      <w:r w:rsidRPr="006129F4">
        <w:rPr>
          <w:szCs w:val="28"/>
        </w:rPr>
        <w:t xml:space="preserve"> (</w:t>
      </w:r>
      <w:r w:rsidRPr="006129F4">
        <w:rPr>
          <w:bCs/>
          <w:szCs w:val="28"/>
        </w:rPr>
        <w:t>імітаційних) засобів.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rFonts w:eastAsia="Times New Roman"/>
          <w:bCs/>
          <w:szCs w:val="28"/>
        </w:rPr>
        <w:t>Створення та використання спеціально утворених підприємств, установ, організацій.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szCs w:val="28"/>
        </w:rPr>
        <w:t>Конфіденційне співробітництво.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bCs/>
          <w:szCs w:val="28"/>
        </w:rPr>
        <w:t>Контроль за дотриманням строків і повноти виконання доручень слідчого, прокурора на проведення негласної слідчої (розшукової) дії.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szCs w:val="28"/>
        </w:rPr>
        <w:t>Компетенція підрозділів оперативної служби в проведенні оперативно-розшукових заходів.</w:t>
      </w:r>
    </w:p>
    <w:p w:rsidR="003C1388" w:rsidRPr="006129F4" w:rsidRDefault="003C1388" w:rsidP="003C1388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134"/>
          <w:tab w:val="left" w:pos="1276"/>
        </w:tabs>
        <w:ind w:left="0" w:firstLine="709"/>
        <w:rPr>
          <w:szCs w:val="28"/>
        </w:rPr>
      </w:pPr>
      <w:r w:rsidRPr="006129F4">
        <w:rPr>
          <w:bCs/>
          <w:szCs w:val="28"/>
        </w:rPr>
        <w:t>Носії інформації або технічні засоби, як предмет дослідження спеціалістами або експертами.</w:t>
      </w:r>
    </w:p>
    <w:p w:rsidR="007D2709" w:rsidRPr="00673921" w:rsidRDefault="007D2709" w:rsidP="007D2709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673921">
        <w:rPr>
          <w:bCs/>
        </w:rPr>
        <w:t>Види домашнього насильства визначені  Законом України «</w:t>
      </w:r>
      <w:r w:rsidRPr="00673921">
        <w:rPr>
          <w:bCs/>
          <w:color w:val="000000"/>
        </w:rPr>
        <w:t>Про запобігання та протидію домашньому насильству</w:t>
      </w:r>
      <w:r w:rsidRPr="00673921">
        <w:rPr>
          <w:bCs/>
        </w:rPr>
        <w:t>».</w:t>
      </w:r>
    </w:p>
    <w:p w:rsidR="007D2709" w:rsidRPr="00DA0598" w:rsidRDefault="007D2709" w:rsidP="007D2709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673921">
        <w:rPr>
          <w:bCs/>
        </w:rPr>
        <w:t>Фізичне насильство.</w:t>
      </w:r>
    </w:p>
    <w:p w:rsidR="007D2709" w:rsidRPr="00DA0598" w:rsidRDefault="007D2709" w:rsidP="007D2709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Економічне насильство.</w:t>
      </w:r>
    </w:p>
    <w:p w:rsidR="007D2709" w:rsidRPr="00DA0598" w:rsidRDefault="007D2709" w:rsidP="007D2709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Психологічне насильство.</w:t>
      </w:r>
    </w:p>
    <w:p w:rsidR="007D2709" w:rsidRPr="00DA0598" w:rsidRDefault="007D2709" w:rsidP="007D2709">
      <w:pPr>
        <w:pStyle w:val="a3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uppressAutoHyphens/>
        <w:ind w:left="0" w:firstLine="709"/>
        <w:contextualSpacing w:val="0"/>
        <w:rPr>
          <w:bCs/>
          <w:szCs w:val="28"/>
        </w:rPr>
      </w:pPr>
      <w:r w:rsidRPr="00DA0598">
        <w:rPr>
          <w:bCs/>
        </w:rPr>
        <w:t>Сексуальне насильство.</w:t>
      </w:r>
    </w:p>
    <w:p w:rsidR="007D2709" w:rsidRPr="00DA0598" w:rsidRDefault="007D2709" w:rsidP="007D2709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Етичний кодекс поліцейського.</w:t>
      </w:r>
    </w:p>
    <w:p w:rsidR="007D2709" w:rsidRDefault="007D2709" w:rsidP="007D2709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Співвідношення принципів та цінностей професійної етики поліції і загальнолюдської моралі.</w:t>
      </w:r>
    </w:p>
    <w:p w:rsidR="007D2709" w:rsidRPr="007D2709" w:rsidRDefault="007D2709" w:rsidP="007D2709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2709">
        <w:rPr>
          <w:sz w:val="28"/>
          <w:szCs w:val="28"/>
        </w:rPr>
        <w:t>Зміст принципу прозорості і підзвітності (Наказ МВС України від 09.11.2016 № 1179).</w:t>
      </w:r>
    </w:p>
    <w:p w:rsidR="007D2709" w:rsidRPr="00DA0598" w:rsidRDefault="007D2709" w:rsidP="007D2709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Основні риси гуманізму як моральної позиції людини.</w:t>
      </w:r>
    </w:p>
    <w:p w:rsidR="007D2709" w:rsidRPr="00DA0598" w:rsidRDefault="007D2709" w:rsidP="007D2709">
      <w:pPr>
        <w:pStyle w:val="western"/>
        <w:numPr>
          <w:ilvl w:val="0"/>
          <w:numId w:val="3"/>
        </w:numPr>
        <w:tabs>
          <w:tab w:val="clear" w:pos="1070"/>
          <w:tab w:val="num" w:pos="710"/>
          <w:tab w:val="left" w:pos="1276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DA0598">
        <w:rPr>
          <w:sz w:val="28"/>
          <w:szCs w:val="28"/>
        </w:rPr>
        <w:t>Відповідальність працівника підрозділу Національної поліції України за порушення професійно-етичних принципів і норм поведінки.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Психологічні особливості оперативно-розшукової діяльності.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Психологічна характеристика особистості працівника оперативного підрозділу.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bCs/>
          <w:iCs/>
          <w:szCs w:val="28"/>
        </w:rPr>
        <w:t>Психологічні особливості реалізації суб’єктами ОРД професійної діяльності.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Режими використання допомоги представників негласного апарату.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Типова психологічна структура об’єктів ОРД.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Поняття стресу.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Основні різновиди стресу.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Рекомендації щодо допомоги при адаптації.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Психологічна підтримка особи, що перебуває під дією страху.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color w:val="222222"/>
          <w:szCs w:val="28"/>
          <w:shd w:val="clear" w:color="auto" w:fill="FFFFFF"/>
        </w:rPr>
      </w:pPr>
      <w:r w:rsidRPr="00CF094B">
        <w:rPr>
          <w:szCs w:val="28"/>
        </w:rPr>
        <w:t>Х</w:t>
      </w:r>
      <w:r w:rsidRPr="00CF094B">
        <w:rPr>
          <w:bCs/>
          <w:szCs w:val="28"/>
        </w:rPr>
        <w:t xml:space="preserve">ронічний стрес в діяльності </w:t>
      </w:r>
      <w:r w:rsidRPr="00CF094B">
        <w:rPr>
          <w:szCs w:val="28"/>
        </w:rPr>
        <w:t>працівника поліції.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Поняття адаптації.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Характеристика підготовки до стресу.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lastRenderedPageBreak/>
        <w:t>Специфіка першої психологічної допомоги.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Поняття страху.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Поняття ступору.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 xml:space="preserve">Цілі </w:t>
      </w:r>
      <w:r w:rsidRPr="00CF094B">
        <w:rPr>
          <w:bCs/>
          <w:szCs w:val="28"/>
        </w:rPr>
        <w:t>ділового спілкування працівників поліції.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Комунікативні умови процесу спілкування.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Визначення процесу спілкування.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Різновиди спілкування в залежності від кількості учасників.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Різновиди спілкування за наявності проміжної ланки.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Визначення опосередкованого спілкування.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Різновиди спілкування в залежності від часу.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Поняття тривалого спілкування.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bCs/>
          <w:szCs w:val="28"/>
        </w:rPr>
        <w:t>Різновиди спілкування в залежності від ступеня завершеності.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bCs/>
          <w:szCs w:val="28"/>
        </w:rPr>
      </w:pPr>
      <w:r w:rsidRPr="00CF094B">
        <w:rPr>
          <w:bCs/>
          <w:szCs w:val="28"/>
        </w:rPr>
        <w:t>Характеристика завершеного спілкування.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</w:pPr>
      <w:r w:rsidRPr="00CF094B">
        <w:rPr>
          <w:szCs w:val="28"/>
        </w:rPr>
        <w:t>З</w:t>
      </w:r>
      <w:r w:rsidRPr="00CF094B"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агальні принципи рівності та недискримінації.</w:t>
      </w:r>
    </w:p>
    <w:p w:rsidR="00CF094B" w:rsidRPr="00CF094B" w:rsidRDefault="00CF094B" w:rsidP="00CF094B">
      <w:pPr>
        <w:pStyle w:val="a6"/>
        <w:numPr>
          <w:ilvl w:val="0"/>
          <w:numId w:val="3"/>
        </w:numPr>
        <w:tabs>
          <w:tab w:val="clear" w:pos="1070"/>
          <w:tab w:val="left" w:pos="1276"/>
        </w:tabs>
        <w:spacing w:after="0"/>
        <w:ind w:left="0" w:right="1140" w:firstLine="709"/>
        <w:jc w:val="both"/>
        <w:rPr>
          <w:sz w:val="28"/>
          <w:szCs w:val="28"/>
          <w:lang w:eastAsia="uk-UA"/>
        </w:rPr>
      </w:pPr>
      <w:r w:rsidRPr="00CF094B">
        <w:rPr>
          <w:sz w:val="28"/>
          <w:szCs w:val="28"/>
        </w:rPr>
        <w:t>Зміст т</w:t>
      </w:r>
      <w:r w:rsidRPr="00CF094B">
        <w:rPr>
          <w:sz w:val="28"/>
          <w:szCs w:val="28"/>
          <w:lang w:eastAsia="uk-UA"/>
        </w:rPr>
        <w:t>ерміну «дискримінація».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color w:val="222222"/>
          <w:szCs w:val="28"/>
          <w:shd w:val="clear" w:color="auto" w:fill="FFFFFF"/>
        </w:rPr>
      </w:pPr>
      <w:r w:rsidRPr="00CF094B">
        <w:rPr>
          <w:color w:val="222222"/>
          <w:szCs w:val="28"/>
          <w:shd w:val="clear" w:color="auto" w:fill="FFFFFF"/>
        </w:rPr>
        <w:t>Поняття ксенофобії.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color w:val="222222"/>
          <w:szCs w:val="28"/>
          <w:shd w:val="clear" w:color="auto" w:fill="FFFFFF"/>
        </w:rPr>
      </w:pPr>
      <w:r w:rsidRPr="00CF094B">
        <w:rPr>
          <w:szCs w:val="28"/>
        </w:rPr>
        <w:t>Характеристика стереотипів.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color w:val="222222"/>
          <w:szCs w:val="28"/>
          <w:shd w:val="clear" w:color="auto" w:fill="FFFFFF"/>
        </w:rPr>
      </w:pPr>
      <w:r w:rsidRPr="00CF094B">
        <w:rPr>
          <w:szCs w:val="28"/>
        </w:rPr>
        <w:t>Визначення упередження</w:t>
      </w:r>
      <w:r w:rsidRPr="00CF094B">
        <w:rPr>
          <w:color w:val="222222"/>
          <w:szCs w:val="28"/>
          <w:shd w:val="clear" w:color="auto" w:fill="FFFFFF"/>
        </w:rPr>
        <w:t>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Толерантність та її значення в діяльності поліцейського.</w:t>
      </w:r>
    </w:p>
    <w:p w:rsidR="00CF094B" w:rsidRPr="00CF094B" w:rsidRDefault="00CF094B" w:rsidP="00CF094B">
      <w:pPr>
        <w:pStyle w:val="71"/>
        <w:keepNext/>
        <w:keepLines/>
        <w:numPr>
          <w:ilvl w:val="0"/>
          <w:numId w:val="3"/>
        </w:numPr>
        <w:shd w:val="clear" w:color="auto" w:fill="auto"/>
        <w:tabs>
          <w:tab w:val="clear" w:pos="1070"/>
          <w:tab w:val="left" w:pos="1276"/>
        </w:tabs>
        <w:spacing w:before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  <w:bookmarkStart w:id="1" w:name="bookmark40"/>
      <w:r w:rsidRPr="00CF094B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Правомірність мети</w:t>
      </w:r>
      <w:bookmarkEnd w:id="1"/>
      <w:r w:rsidRPr="00CF094B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</w:tabs>
        <w:ind w:left="0" w:firstLine="709"/>
        <w:rPr>
          <w:szCs w:val="28"/>
        </w:rPr>
      </w:pPr>
      <w:r w:rsidRPr="00CF094B">
        <w:rPr>
          <w:szCs w:val="28"/>
        </w:rPr>
        <w:t>Форми дискримінації.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  <w:tab w:val="left" w:pos="1845"/>
        </w:tabs>
        <w:ind w:left="0" w:firstLine="709"/>
        <w:rPr>
          <w:szCs w:val="28"/>
        </w:rPr>
      </w:pPr>
      <w:r w:rsidRPr="00CF094B">
        <w:rPr>
          <w:szCs w:val="28"/>
        </w:rPr>
        <w:t>Злочини на ґрунті ненависті.</w:t>
      </w:r>
    </w:p>
    <w:p w:rsidR="00CF094B" w:rsidRPr="00CF094B" w:rsidRDefault="00CF094B" w:rsidP="00CF094B">
      <w:pPr>
        <w:pStyle w:val="a3"/>
        <w:numPr>
          <w:ilvl w:val="0"/>
          <w:numId w:val="3"/>
        </w:numPr>
        <w:tabs>
          <w:tab w:val="clear" w:pos="1070"/>
          <w:tab w:val="left" w:pos="1276"/>
          <w:tab w:val="left" w:pos="1845"/>
        </w:tabs>
        <w:ind w:left="0" w:firstLine="709"/>
        <w:rPr>
          <w:szCs w:val="28"/>
        </w:rPr>
      </w:pPr>
      <w:r w:rsidRPr="00CF094B">
        <w:rPr>
          <w:szCs w:val="28"/>
        </w:rPr>
        <w:t>Особливості мови ворожнечі.</w:t>
      </w:r>
    </w:p>
    <w:p w:rsidR="00AC7BEB" w:rsidRPr="00CF094B" w:rsidRDefault="00AC7BEB" w:rsidP="00CF094B">
      <w:pPr>
        <w:tabs>
          <w:tab w:val="left" w:pos="993"/>
          <w:tab w:val="left" w:pos="1134"/>
          <w:tab w:val="left" w:pos="1276"/>
        </w:tabs>
        <w:ind w:firstLine="0"/>
        <w:rPr>
          <w:szCs w:val="28"/>
        </w:rPr>
      </w:pPr>
    </w:p>
    <w:p w:rsidR="007463F6" w:rsidRPr="00B93C76" w:rsidRDefault="007463F6" w:rsidP="005E5CF1">
      <w:pPr>
        <w:pStyle w:val="Style4"/>
        <w:jc w:val="center"/>
        <w:rPr>
          <w:b/>
          <w:sz w:val="28"/>
          <w:szCs w:val="28"/>
        </w:rPr>
      </w:pPr>
    </w:p>
    <w:sectPr w:rsidR="007463F6" w:rsidRPr="00B93C76" w:rsidSect="00B93C76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545"/>
    <w:multiLevelType w:val="hybridMultilevel"/>
    <w:tmpl w:val="74E6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D5A"/>
    <w:multiLevelType w:val="multilevel"/>
    <w:tmpl w:val="6AEE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72041"/>
    <w:multiLevelType w:val="hybridMultilevel"/>
    <w:tmpl w:val="057CD8CE"/>
    <w:lvl w:ilvl="0" w:tplc="B6E4B9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" w15:restartNumberingAfterBreak="0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5044"/>
    <w:multiLevelType w:val="hybridMultilevel"/>
    <w:tmpl w:val="373ECD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4829"/>
    <w:multiLevelType w:val="hybridMultilevel"/>
    <w:tmpl w:val="89A4BF5E"/>
    <w:lvl w:ilvl="0" w:tplc="F7225D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3A6C"/>
    <w:multiLevelType w:val="hybridMultilevel"/>
    <w:tmpl w:val="057CD8CE"/>
    <w:lvl w:ilvl="0" w:tplc="B6E4B9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F1"/>
    <w:rsid w:val="00043AC6"/>
    <w:rsid w:val="00120783"/>
    <w:rsid w:val="00144F4B"/>
    <w:rsid w:val="001C23AB"/>
    <w:rsid w:val="00255ABD"/>
    <w:rsid w:val="003C1388"/>
    <w:rsid w:val="00457C81"/>
    <w:rsid w:val="004E0230"/>
    <w:rsid w:val="005E5CF1"/>
    <w:rsid w:val="00607B52"/>
    <w:rsid w:val="007463F6"/>
    <w:rsid w:val="007D2709"/>
    <w:rsid w:val="00823645"/>
    <w:rsid w:val="008249EB"/>
    <w:rsid w:val="009F0136"/>
    <w:rsid w:val="00AC7BEB"/>
    <w:rsid w:val="00B93C76"/>
    <w:rsid w:val="00CF094B"/>
    <w:rsid w:val="00D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83B4-40FA-437C-A980-E5BFB024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F1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CF1"/>
    <w:pPr>
      <w:ind w:left="720"/>
      <w:contextualSpacing/>
    </w:pPr>
  </w:style>
  <w:style w:type="paragraph" w:customStyle="1" w:styleId="2">
    <w:name w:val="Абзац списка2"/>
    <w:basedOn w:val="a"/>
    <w:rsid w:val="005E5CF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E5CF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">
    <w:name w:val="Основной текст1"/>
    <w:basedOn w:val="a"/>
    <w:rsid w:val="005E5CF1"/>
    <w:pPr>
      <w:widowControl w:val="0"/>
      <w:shd w:val="clear" w:color="auto" w:fill="FFFFFF"/>
      <w:ind w:firstLine="0"/>
      <w:jc w:val="left"/>
    </w:pPr>
    <w:rPr>
      <w:rFonts w:eastAsia="Times New Roman"/>
      <w:sz w:val="20"/>
      <w:lang w:eastAsia="en-US"/>
    </w:rPr>
  </w:style>
  <w:style w:type="paragraph" w:customStyle="1" w:styleId="Style4">
    <w:name w:val="Style4"/>
    <w:basedOn w:val="a"/>
    <w:uiPriority w:val="99"/>
    <w:rsid w:val="005E5CF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</w:rPr>
  </w:style>
  <w:style w:type="paragraph" w:customStyle="1" w:styleId="rvps2">
    <w:name w:val="rvps2"/>
    <w:basedOn w:val="a"/>
    <w:rsid w:val="00AC7BE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paragraph" w:styleId="a4">
    <w:name w:val="Normal (Web)"/>
    <w:basedOn w:val="a"/>
    <w:link w:val="a5"/>
    <w:rsid w:val="001C23A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/>
    </w:rPr>
  </w:style>
  <w:style w:type="character" w:customStyle="1" w:styleId="a5">
    <w:name w:val="Обычный (веб) Знак"/>
    <w:link w:val="a4"/>
    <w:rsid w:val="001C23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unhideWhenUsed/>
    <w:rsid w:val="00CF094B"/>
    <w:pPr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F09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">
    <w:name w:val="Основной текст (8) + Не полужирный"/>
    <w:rsid w:val="00CF094B"/>
    <w:rPr>
      <w:rFonts w:ascii="Calibri" w:hAnsi="Calibri" w:cs="Calibri"/>
      <w:spacing w:val="0"/>
      <w:sz w:val="21"/>
      <w:szCs w:val="21"/>
    </w:rPr>
  </w:style>
  <w:style w:type="character" w:customStyle="1" w:styleId="7">
    <w:name w:val="Заголовок №7_"/>
    <w:link w:val="71"/>
    <w:rsid w:val="00CF094B"/>
    <w:rPr>
      <w:b/>
      <w:bCs/>
      <w:sz w:val="21"/>
      <w:szCs w:val="21"/>
      <w:shd w:val="clear" w:color="auto" w:fill="FFFFFF"/>
    </w:rPr>
  </w:style>
  <w:style w:type="paragraph" w:customStyle="1" w:styleId="71">
    <w:name w:val="Заголовок №71"/>
    <w:basedOn w:val="a"/>
    <w:link w:val="7"/>
    <w:rsid w:val="00CF094B"/>
    <w:pPr>
      <w:shd w:val="clear" w:color="auto" w:fill="FFFFFF"/>
      <w:spacing w:before="240" w:line="283" w:lineRule="exact"/>
      <w:ind w:hanging="360"/>
      <w:outlineLvl w:val="6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2</cp:revision>
  <dcterms:created xsi:type="dcterms:W3CDTF">2018-09-11T12:30:00Z</dcterms:created>
  <dcterms:modified xsi:type="dcterms:W3CDTF">2018-09-11T12:30:00Z</dcterms:modified>
</cp:coreProperties>
</file>